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7683" w14:textId="77777777" w:rsidR="004B3AA1" w:rsidRPr="00D46AF9" w:rsidRDefault="004B3AA1" w:rsidP="000F05D0">
      <w:pPr>
        <w:rPr>
          <w:rFonts w:cstheme="minorHAnsi"/>
          <w:b/>
          <w:bCs/>
          <w:color w:val="000000" w:themeColor="text1"/>
          <w:sz w:val="10"/>
          <w:szCs w:val="10"/>
        </w:rPr>
      </w:pPr>
    </w:p>
    <w:p w14:paraId="7BA22562" w14:textId="047B88AF" w:rsidR="00A2414B" w:rsidRDefault="00A2414B" w:rsidP="00A2414B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FOR IMMEDIATE RELEASE</w:t>
      </w:r>
    </w:p>
    <w:p w14:paraId="6E34377F" w14:textId="77777777" w:rsidR="00A2414B" w:rsidRDefault="00A2414B" w:rsidP="00A2414B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7D85B96" w14:textId="1984183A" w:rsidR="001A7A22" w:rsidRPr="00D46AF9" w:rsidRDefault="001A7A22" w:rsidP="00DD534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D46AF9">
        <w:rPr>
          <w:rFonts w:cstheme="minorHAnsi"/>
          <w:b/>
          <w:bCs/>
          <w:color w:val="000000" w:themeColor="text1"/>
          <w:sz w:val="24"/>
          <w:szCs w:val="24"/>
        </w:rPr>
        <w:t xml:space="preserve">PRO-INVEST GROUP </w:t>
      </w:r>
      <w:r w:rsidR="009F50A2" w:rsidRPr="00D46AF9">
        <w:rPr>
          <w:rFonts w:cstheme="minorHAnsi"/>
          <w:b/>
          <w:bCs/>
          <w:color w:val="000000" w:themeColor="text1"/>
          <w:sz w:val="24"/>
          <w:szCs w:val="24"/>
        </w:rPr>
        <w:t xml:space="preserve">SET TO ENTER CO-LIVING WITH HOSPITALITY BASED RESIDENTIAL </w:t>
      </w:r>
      <w:r w:rsidRPr="00D46AF9">
        <w:rPr>
          <w:rFonts w:cstheme="minorHAnsi"/>
          <w:b/>
          <w:bCs/>
          <w:color w:val="000000" w:themeColor="text1"/>
          <w:sz w:val="24"/>
          <w:szCs w:val="24"/>
        </w:rPr>
        <w:t xml:space="preserve">MODEL </w:t>
      </w:r>
    </w:p>
    <w:p w14:paraId="58311EE7" w14:textId="516B9819" w:rsidR="001D36DB" w:rsidRPr="00D46AF9" w:rsidRDefault="00461412" w:rsidP="00DD5349">
      <w:pPr>
        <w:spacing w:after="0" w:line="240" w:lineRule="auto"/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r w:rsidRPr="00D46AF9">
        <w:rPr>
          <w:rFonts w:cstheme="minorHAnsi"/>
          <w:i/>
          <w:iCs/>
          <w:color w:val="000000" w:themeColor="text1"/>
          <w:sz w:val="24"/>
          <w:szCs w:val="24"/>
        </w:rPr>
        <w:t>The company</w:t>
      </w:r>
      <w:r w:rsidR="001D36DB" w:rsidRPr="00D46AF9">
        <w:rPr>
          <w:rFonts w:cstheme="minorHAnsi"/>
          <w:i/>
          <w:iCs/>
          <w:color w:val="000000" w:themeColor="text1"/>
          <w:sz w:val="24"/>
          <w:szCs w:val="24"/>
        </w:rPr>
        <w:t xml:space="preserve"> aims to bring 2</w:t>
      </w:r>
      <w:r w:rsidR="0078796F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1D36DB" w:rsidRPr="00D46AF9">
        <w:rPr>
          <w:rFonts w:cstheme="minorHAnsi"/>
          <w:i/>
          <w:iCs/>
          <w:color w:val="000000" w:themeColor="text1"/>
          <w:sz w:val="24"/>
          <w:szCs w:val="24"/>
        </w:rPr>
        <w:t>000 units to market in the first phase of development</w:t>
      </w:r>
      <w:r w:rsidR="009A0B7D" w:rsidRPr="00D46AF9">
        <w:rPr>
          <w:rFonts w:cstheme="minorHAnsi"/>
          <w:i/>
          <w:iCs/>
          <w:color w:val="000000" w:themeColor="text1"/>
          <w:sz w:val="24"/>
          <w:szCs w:val="24"/>
        </w:rPr>
        <w:t>.</w:t>
      </w:r>
    </w:p>
    <w:p w14:paraId="28CE4C2A" w14:textId="77777777" w:rsidR="000300DD" w:rsidRPr="00D46AF9" w:rsidRDefault="000300DD" w:rsidP="00F0405A">
      <w:pPr>
        <w:spacing w:after="0" w:line="240" w:lineRule="auto"/>
        <w:rPr>
          <w:rFonts w:cstheme="minorHAnsi"/>
          <w:b/>
          <w:bCs/>
        </w:rPr>
      </w:pPr>
    </w:p>
    <w:p w14:paraId="2897EEEF" w14:textId="42F6D7AA" w:rsidR="00C47145" w:rsidRPr="00D46AF9" w:rsidRDefault="00AD56FC" w:rsidP="00C47145">
      <w:pPr>
        <w:spacing w:after="0" w:line="240" w:lineRule="auto"/>
      </w:pPr>
      <w:r w:rsidRPr="00D46AF9">
        <w:rPr>
          <w:rFonts w:cstheme="minorHAnsi"/>
          <w:i/>
          <w:iCs/>
        </w:rPr>
        <w:t xml:space="preserve">Sydney, Australia, </w:t>
      </w:r>
      <w:r w:rsidR="009940B8" w:rsidRPr="00D46AF9">
        <w:rPr>
          <w:rFonts w:cstheme="minorHAnsi"/>
          <w:i/>
          <w:iCs/>
        </w:rPr>
        <w:t>2</w:t>
      </w:r>
      <w:r w:rsidR="00014234" w:rsidRPr="00D46AF9">
        <w:rPr>
          <w:rFonts w:cstheme="minorHAnsi"/>
          <w:i/>
          <w:iCs/>
        </w:rPr>
        <w:t>7</w:t>
      </w:r>
      <w:r w:rsidR="001E35A7" w:rsidRPr="00D46AF9">
        <w:rPr>
          <w:rFonts w:cstheme="minorHAnsi"/>
          <w:i/>
          <w:iCs/>
        </w:rPr>
        <w:t xml:space="preserve"> </w:t>
      </w:r>
      <w:r w:rsidR="00956050" w:rsidRPr="00D46AF9">
        <w:rPr>
          <w:rFonts w:cstheme="minorHAnsi"/>
          <w:i/>
          <w:iCs/>
        </w:rPr>
        <w:t>February</w:t>
      </w:r>
      <w:r w:rsidR="000300DD" w:rsidRPr="00D46AF9">
        <w:rPr>
          <w:rFonts w:cstheme="minorHAnsi"/>
          <w:i/>
          <w:iCs/>
        </w:rPr>
        <w:t xml:space="preserve"> 202</w:t>
      </w:r>
      <w:r w:rsidR="00173FF2" w:rsidRPr="00D46AF9">
        <w:rPr>
          <w:rFonts w:cstheme="minorHAnsi"/>
          <w:i/>
          <w:iCs/>
        </w:rPr>
        <w:t>4</w:t>
      </w:r>
      <w:r w:rsidR="000300DD" w:rsidRPr="00D46AF9">
        <w:rPr>
          <w:rFonts w:cstheme="minorHAnsi"/>
          <w:i/>
          <w:iCs/>
        </w:rPr>
        <w:t>:</w:t>
      </w:r>
      <w:r w:rsidR="000300DD" w:rsidRPr="00D46AF9">
        <w:rPr>
          <w:rFonts w:cstheme="minorHAnsi"/>
          <w:b/>
          <w:bCs/>
        </w:rPr>
        <w:t xml:space="preserve"> </w:t>
      </w:r>
      <w:hyperlink r:id="rId11" w:history="1">
        <w:r w:rsidR="00CC1686" w:rsidRPr="00D46AF9">
          <w:rPr>
            <w:rStyle w:val="Hyperlink"/>
            <w:rFonts w:cstheme="minorHAnsi"/>
            <w:b/>
            <w:bCs/>
          </w:rPr>
          <w:t>Pro-invest Group</w:t>
        </w:r>
      </w:hyperlink>
      <w:r w:rsidR="00CC1686" w:rsidRPr="00D46AF9">
        <w:t xml:space="preserve">, a prominent </w:t>
      </w:r>
      <w:r w:rsidR="00C47145" w:rsidRPr="00D46AF9">
        <w:t xml:space="preserve">real estate </w:t>
      </w:r>
      <w:r w:rsidR="00CC1686" w:rsidRPr="00D46AF9">
        <w:t xml:space="preserve">asset manager and investment firm, </w:t>
      </w:r>
      <w:r w:rsidR="00684D1A" w:rsidRPr="00D46AF9">
        <w:t xml:space="preserve">is </w:t>
      </w:r>
      <w:r w:rsidR="00461412" w:rsidRPr="00D46AF9">
        <w:t xml:space="preserve">entering the </w:t>
      </w:r>
      <w:r w:rsidR="00CC1686" w:rsidRPr="00D46AF9">
        <w:t>residential market with its new Flexible Living model</w:t>
      </w:r>
      <w:r w:rsidR="00B10FD0" w:rsidRPr="00D46AF9">
        <w:t>, developed to capture the extensive potential of Co-living across Australia</w:t>
      </w:r>
      <w:r w:rsidR="00C47145" w:rsidRPr="00D46AF9">
        <w:t xml:space="preserve">. </w:t>
      </w:r>
      <w:r w:rsidR="00B10FD0" w:rsidRPr="00D46AF9">
        <w:t>T</w:t>
      </w:r>
      <w:r w:rsidR="00C47145" w:rsidRPr="00D46AF9">
        <w:t>he company is set to own and operate approximately 2</w:t>
      </w:r>
      <w:r w:rsidR="004645F0" w:rsidRPr="00D46AF9">
        <w:t>,</w:t>
      </w:r>
      <w:r w:rsidR="00C47145" w:rsidRPr="00D46AF9">
        <w:t xml:space="preserve">000 </w:t>
      </w:r>
      <w:r w:rsidR="001D08C3" w:rsidRPr="00D46AF9">
        <w:t xml:space="preserve">apartments </w:t>
      </w:r>
      <w:r w:rsidR="00C47145" w:rsidRPr="00D46AF9">
        <w:t xml:space="preserve">across ten assets in its first tranche of </w:t>
      </w:r>
      <w:r w:rsidR="001D13BC" w:rsidRPr="00D46AF9">
        <w:t>development; and</w:t>
      </w:r>
      <w:r w:rsidR="00C47145" w:rsidRPr="00D46AF9">
        <w:t xml:space="preserve"> anticipates scal</w:t>
      </w:r>
      <w:r w:rsidR="00AC1BD7" w:rsidRPr="00D46AF9">
        <w:t xml:space="preserve">ing it to </w:t>
      </w:r>
      <w:r w:rsidR="001D13BC" w:rsidRPr="00D46AF9">
        <w:t xml:space="preserve">the size of their current </w:t>
      </w:r>
      <w:r w:rsidR="00C47145" w:rsidRPr="00D46AF9">
        <w:t>hotel business</w:t>
      </w:r>
      <w:r w:rsidR="005E2FAE" w:rsidRPr="00D46AF9">
        <w:t xml:space="preserve"> (circa</w:t>
      </w:r>
      <w:r w:rsidR="00DB59EE" w:rsidRPr="00D46AF9">
        <w:t xml:space="preserve"> </w:t>
      </w:r>
      <w:r w:rsidR="00C47145" w:rsidRPr="00D46AF9">
        <w:t>6</w:t>
      </w:r>
      <w:r w:rsidR="0050549B" w:rsidRPr="00D46AF9">
        <w:t>,</w:t>
      </w:r>
      <w:r w:rsidR="00C47145" w:rsidRPr="00D46AF9">
        <w:t>000 keys</w:t>
      </w:r>
      <w:r w:rsidR="005E2FAE" w:rsidRPr="00D46AF9">
        <w:t>)</w:t>
      </w:r>
      <w:r w:rsidR="00C47145" w:rsidRPr="00D46AF9">
        <w:t xml:space="preserve">. </w:t>
      </w:r>
    </w:p>
    <w:p w14:paraId="47D47263" w14:textId="77777777" w:rsidR="00C47145" w:rsidRPr="00D46AF9" w:rsidRDefault="00C47145" w:rsidP="00821953">
      <w:pPr>
        <w:spacing w:after="0" w:line="240" w:lineRule="auto"/>
      </w:pPr>
    </w:p>
    <w:p w14:paraId="680D2D0B" w14:textId="64AB5439" w:rsidR="00877B80" w:rsidRPr="00D46AF9" w:rsidRDefault="006D1E4E" w:rsidP="00E43F5F">
      <w:r w:rsidRPr="00D46AF9">
        <w:rPr>
          <w:rFonts w:cstheme="minorHAnsi"/>
        </w:rPr>
        <w:t>Led by industry veteran, Ronald Stephen Barrott, Pro-invest Group</w:t>
      </w:r>
      <w:r w:rsidR="00E36DF6" w:rsidRPr="00D46AF9">
        <w:t xml:space="preserve"> have been an active player in hospitality investment and operations </w:t>
      </w:r>
      <w:r w:rsidR="00501E20" w:rsidRPr="00D46AF9">
        <w:t xml:space="preserve">around the world </w:t>
      </w:r>
      <w:r w:rsidR="00E36DF6" w:rsidRPr="00D46AF9">
        <w:t>for</w:t>
      </w:r>
      <w:r w:rsidR="00BF4C44" w:rsidRPr="00D46AF9">
        <w:t xml:space="preserve"> over three decades</w:t>
      </w:r>
      <w:r w:rsidR="00501E20" w:rsidRPr="00D46AF9">
        <w:t xml:space="preserve">. </w:t>
      </w:r>
      <w:r w:rsidR="004C6663" w:rsidRPr="00D46AF9">
        <w:t xml:space="preserve">They now </w:t>
      </w:r>
      <w:r w:rsidR="00931A41" w:rsidRPr="00D46AF9">
        <w:t xml:space="preserve">manage one of the largest, and most sustainable, </w:t>
      </w:r>
      <w:r w:rsidR="00DC4BDF" w:rsidRPr="00D46AF9">
        <w:t>operating platforms in Australia</w:t>
      </w:r>
      <w:r w:rsidR="00877B80" w:rsidRPr="00D46AF9">
        <w:t>, with 32 assets (6,000 keys) open and in development</w:t>
      </w:r>
      <w:r w:rsidR="00B012C2" w:rsidRPr="00D46AF9">
        <w:t xml:space="preserve"> across all major markets</w:t>
      </w:r>
      <w:r w:rsidR="00877B80" w:rsidRPr="00D46AF9">
        <w:t xml:space="preserve">, and </w:t>
      </w:r>
      <w:r w:rsidR="00D73FBA" w:rsidRPr="00D46AF9">
        <w:t>AUD$3</w:t>
      </w:r>
      <w:r w:rsidR="00877B80" w:rsidRPr="00D46AF9">
        <w:t xml:space="preserve"> billion of assets under management</w:t>
      </w:r>
      <w:r w:rsidR="00DC4BDF" w:rsidRPr="00D46AF9">
        <w:t>.</w:t>
      </w:r>
      <w:r w:rsidR="00E43F5F" w:rsidRPr="00D46AF9">
        <w:t xml:space="preserve"> </w:t>
      </w:r>
    </w:p>
    <w:p w14:paraId="2E01E9F0" w14:textId="77777777" w:rsidR="00E256D5" w:rsidRPr="00D46AF9" w:rsidRDefault="00E43F5F" w:rsidP="000B5F54">
      <w:r w:rsidRPr="00D46AF9">
        <w:t>Pro-Invest Group’s integrated platform generates value by blending development, operations, and active asset management.</w:t>
      </w:r>
      <w:r w:rsidR="001C3B3F" w:rsidRPr="00D46AF9">
        <w:t xml:space="preserve"> </w:t>
      </w:r>
      <w:r w:rsidR="008735E1" w:rsidRPr="00D46AF9">
        <w:t>Experts in new build construction and conversions of hotel and office assets, t</w:t>
      </w:r>
      <w:r w:rsidRPr="00D46AF9">
        <w:t xml:space="preserve">he company’s ability to manage the full life cycle of projects makes them a unique proposition in the Australian market. </w:t>
      </w:r>
    </w:p>
    <w:p w14:paraId="257BC40E" w14:textId="77777777" w:rsidR="007575B2" w:rsidRPr="00D46AF9" w:rsidRDefault="007575B2" w:rsidP="007575B2">
      <w:r w:rsidRPr="00D46AF9">
        <w:t xml:space="preserve">The seamless integration of hospitality in residential living is gaining momentum as property developers and investors acknowledge the immense value of infusing hospitality into residential projects. Pro-invest Group’s Flexible Living model is rooted in their background as a hospitality real estate leader, with every aspect of their residential offerings, from design, amenities, and personalised services, reflecting the hallmarks of their hospitality heritage. </w:t>
      </w:r>
    </w:p>
    <w:p w14:paraId="309AFF0A" w14:textId="37BCCB01" w:rsidR="00041F84" w:rsidRPr="00D46AF9" w:rsidRDefault="00E43F5F" w:rsidP="00041F84">
      <w:pPr>
        <w:spacing w:after="0" w:line="240" w:lineRule="auto"/>
      </w:pPr>
      <w:r w:rsidRPr="00D46AF9">
        <w:t>Now, with their Flexible Living model, they are actively pursuing</w:t>
      </w:r>
      <w:r w:rsidR="000B5F54" w:rsidRPr="00D46AF9">
        <w:t xml:space="preserve"> Co-living</w:t>
      </w:r>
      <w:r w:rsidRPr="00D46AF9">
        <w:t xml:space="preserve"> to maximise returns for</w:t>
      </w:r>
      <w:r w:rsidR="009407DC" w:rsidRPr="00D46AF9">
        <w:t xml:space="preserve"> </w:t>
      </w:r>
      <w:r w:rsidRPr="00D46AF9">
        <w:t>investors in this sector.</w:t>
      </w:r>
      <w:r w:rsidR="000B5F54" w:rsidRPr="00D46AF9">
        <w:t xml:space="preserve"> </w:t>
      </w:r>
      <w:r w:rsidR="00E256D5" w:rsidRPr="00D46AF9">
        <w:t>These</w:t>
      </w:r>
      <w:r w:rsidR="000B5F54" w:rsidRPr="00D46AF9">
        <w:t xml:space="preserve"> </w:t>
      </w:r>
      <w:r w:rsidR="00FB1733" w:rsidRPr="00D46AF9">
        <w:t xml:space="preserve">opportunities </w:t>
      </w:r>
      <w:r w:rsidR="000B5F54" w:rsidRPr="00D46AF9">
        <w:t>will focus on the conversion of existing assets – predominantly hotels - of up to 200 units</w:t>
      </w:r>
      <w:r w:rsidR="00FB1733" w:rsidRPr="00D46AF9">
        <w:t>, with n</w:t>
      </w:r>
      <w:r w:rsidR="000B5F54" w:rsidRPr="00D46AF9">
        <w:t xml:space="preserve">ew-builds considered where appropriate. </w:t>
      </w:r>
      <w:r w:rsidR="00041F84" w:rsidRPr="00D46AF9">
        <w:t xml:space="preserve">With decades of expertise in upgrading, repurposing and redeveloping hotel </w:t>
      </w:r>
      <w:r w:rsidR="00632240" w:rsidRPr="00D46AF9">
        <w:t xml:space="preserve">and office </w:t>
      </w:r>
      <w:r w:rsidR="00041F84" w:rsidRPr="00D46AF9">
        <w:t>buildings around the world, the company is well-equipped to maximise conversion opportunities. This includes identifying underperforming hotel assets that can be</w:t>
      </w:r>
      <w:r w:rsidR="0018256C" w:rsidRPr="00D46AF9">
        <w:t xml:space="preserve"> quickly and efficiently </w:t>
      </w:r>
      <w:r w:rsidR="00041F84" w:rsidRPr="00D46AF9">
        <w:t>reimagined and repositioned by Pro-invest’s in-house development team</w:t>
      </w:r>
      <w:r w:rsidR="006952ED" w:rsidRPr="00D46AF9">
        <w:t xml:space="preserve">; while </w:t>
      </w:r>
      <w:r w:rsidR="00041F84" w:rsidRPr="00D46AF9">
        <w:t xml:space="preserve">Pro-invest’s hotel management business maximise yield from the asset </w:t>
      </w:r>
      <w:r w:rsidR="005A08F9" w:rsidRPr="00D46AF9">
        <w:t>as</w:t>
      </w:r>
      <w:r w:rsidR="00041F84" w:rsidRPr="00D46AF9">
        <w:t xml:space="preserve"> planning and preliminary works are undertaken. </w:t>
      </w:r>
    </w:p>
    <w:p w14:paraId="696C6088" w14:textId="77777777" w:rsidR="00041F84" w:rsidRPr="00D46AF9" w:rsidRDefault="00041F84" w:rsidP="00041F84">
      <w:pPr>
        <w:spacing w:after="0" w:line="240" w:lineRule="auto"/>
      </w:pPr>
    </w:p>
    <w:p w14:paraId="2393F9BC" w14:textId="507FC58D" w:rsidR="000B5F54" w:rsidRPr="00D46AF9" w:rsidRDefault="000B5F54" w:rsidP="00041F84">
      <w:pPr>
        <w:spacing w:after="0" w:line="240" w:lineRule="auto"/>
      </w:pPr>
      <w:r w:rsidRPr="00D46AF9">
        <w:t>Based in CBD and suburban locations these</w:t>
      </w:r>
      <w:r w:rsidR="00EA3EAB" w:rsidRPr="00D46AF9">
        <w:t xml:space="preserve"> Co-living</w:t>
      </w:r>
      <w:r w:rsidRPr="00D46AF9">
        <w:t xml:space="preserve"> properties will attract a broad cross-section of tenants looking for smaller, self-contained studio and one-bed apartments, with shared community spaces and flexible rental options. This includes short-term serviced apartment options and longer-term rental leases. </w:t>
      </w:r>
    </w:p>
    <w:p w14:paraId="79A213AF" w14:textId="77777777" w:rsidR="000F2125" w:rsidRPr="00D46AF9" w:rsidRDefault="000F2125" w:rsidP="000F2125">
      <w:pPr>
        <w:spacing w:after="0" w:line="240" w:lineRule="auto"/>
      </w:pPr>
    </w:p>
    <w:p w14:paraId="3935AC95" w14:textId="469385A8" w:rsidR="00A653AF" w:rsidRPr="00D46AF9" w:rsidRDefault="00A653AF" w:rsidP="00A653AF">
      <w:pPr>
        <w:spacing w:after="0" w:line="240" w:lineRule="auto"/>
        <w:rPr>
          <w:i/>
          <w:iCs/>
        </w:rPr>
      </w:pPr>
      <w:r w:rsidRPr="00D46AF9">
        <w:rPr>
          <w:b/>
          <w:bCs/>
        </w:rPr>
        <w:t xml:space="preserve">Ronald Stephen Barrott, </w:t>
      </w:r>
      <w:r w:rsidR="00B40468" w:rsidRPr="00D46AF9">
        <w:rPr>
          <w:b/>
          <w:bCs/>
        </w:rPr>
        <w:t>Chair</w:t>
      </w:r>
      <w:r w:rsidRPr="00D46AF9">
        <w:rPr>
          <w:b/>
          <w:bCs/>
        </w:rPr>
        <w:t xml:space="preserve"> of Pro-invest Group</w:t>
      </w:r>
      <w:r w:rsidRPr="00D46AF9">
        <w:t xml:space="preserve"> said </w:t>
      </w:r>
      <w:r w:rsidRPr="00D46AF9">
        <w:rPr>
          <w:i/>
          <w:iCs/>
        </w:rPr>
        <w:t xml:space="preserve">"Our 'Flexible Living' model redefines what 'home' means in the modern era. We recognise that the growing number of renters today desire convenience, quality, and the hotel-like amenities and services that have long been associated with hospitality. Pro-invest Group's expertise in managing hotels and offices uniquely positions us to meet these evolving expectations, creating not just residences but the next generation of living experiences. All </w:t>
      </w:r>
      <w:r w:rsidRPr="00D46AF9">
        <w:rPr>
          <w:i/>
          <w:iCs/>
        </w:rPr>
        <w:lastRenderedPageBreak/>
        <w:t>designed to maximise the compelling investment opportunity at play in Australia given the market size and dynamics."</w:t>
      </w:r>
    </w:p>
    <w:p w14:paraId="6EF413E9" w14:textId="77777777" w:rsidR="00A653AF" w:rsidRPr="00D46AF9" w:rsidRDefault="00A653AF" w:rsidP="00821953">
      <w:pPr>
        <w:spacing w:after="0" w:line="240" w:lineRule="auto"/>
      </w:pPr>
    </w:p>
    <w:p w14:paraId="582B02F6" w14:textId="77777777" w:rsidR="00281153" w:rsidRPr="00D46AF9" w:rsidRDefault="00281153" w:rsidP="00281153">
      <w:pPr>
        <w:rPr>
          <w:b/>
          <w:bCs/>
        </w:rPr>
      </w:pPr>
      <w:r w:rsidRPr="00D46AF9">
        <w:rPr>
          <w:b/>
          <w:bCs/>
        </w:rPr>
        <w:t>The Booming Residential Market in Australia Meets Needs and Wants</w:t>
      </w:r>
    </w:p>
    <w:p w14:paraId="5613E9D9" w14:textId="67739FE5" w:rsidR="00281153" w:rsidRPr="00D46AF9" w:rsidRDefault="001948B7" w:rsidP="001948B7">
      <w:pPr>
        <w:spacing w:after="0" w:line="240" w:lineRule="auto"/>
      </w:pPr>
      <w:r w:rsidRPr="00D46AF9">
        <w:t>Australia's residential market is in a state of flux, driven by persistent affordability challenges and limited availability</w:t>
      </w:r>
      <w:r w:rsidR="006B0D47" w:rsidRPr="00D46AF9">
        <w:t>*</w:t>
      </w:r>
      <w:r w:rsidR="00B47454" w:rsidRPr="00D46AF9">
        <w:t xml:space="preserve">, </w:t>
      </w:r>
      <w:r w:rsidR="00DE6755" w:rsidRPr="00D46AF9">
        <w:t>result</w:t>
      </w:r>
      <w:r w:rsidR="00B47454" w:rsidRPr="00D46AF9">
        <w:t>ing</w:t>
      </w:r>
      <w:r w:rsidR="00DE6755" w:rsidRPr="00D46AF9">
        <w:t xml:space="preserve"> in low vacancy rates and rent increases of up to 14% in Sydney, Melbourne, and Brisbane</w:t>
      </w:r>
      <w:r w:rsidR="00DE6755" w:rsidRPr="00D46AF9">
        <w:rPr>
          <w:rStyle w:val="EndnoteReference"/>
        </w:rPr>
        <w:endnoteReference w:id="2"/>
      </w:r>
      <w:r w:rsidR="00DE6755" w:rsidRPr="00D46AF9">
        <w:t>.</w:t>
      </w:r>
      <w:r w:rsidR="00B17D94" w:rsidRPr="00D46AF9">
        <w:t xml:space="preserve"> </w:t>
      </w:r>
      <w:r w:rsidR="00281153" w:rsidRPr="00D46AF9">
        <w:t>This</w:t>
      </w:r>
      <w:r w:rsidR="00FC6C6C" w:rsidRPr="00D46AF9">
        <w:t xml:space="preserve"> convergence of issues</w:t>
      </w:r>
      <w:r w:rsidR="00281153" w:rsidRPr="00D46AF9">
        <w:t xml:space="preserve"> has given rise to </w:t>
      </w:r>
      <w:r w:rsidR="00A14245" w:rsidRPr="00D46AF9">
        <w:t>a growing number of</w:t>
      </w:r>
      <w:r w:rsidR="00281153" w:rsidRPr="00D46AF9">
        <w:t xml:space="preserve"> </w:t>
      </w:r>
      <w:r w:rsidR="0071289A" w:rsidRPr="00D46AF9">
        <w:t>Co-living</w:t>
      </w:r>
      <w:r w:rsidR="00281153" w:rsidRPr="00D46AF9">
        <w:t xml:space="preserve"> </w:t>
      </w:r>
      <w:r w:rsidR="00A14245" w:rsidRPr="00D46AF9">
        <w:t>investment opportunities</w:t>
      </w:r>
      <w:r w:rsidR="00281153" w:rsidRPr="00D46AF9">
        <w:t xml:space="preserve">, </w:t>
      </w:r>
      <w:r w:rsidRPr="00D46AF9">
        <w:t xml:space="preserve">which have long been </w:t>
      </w:r>
      <w:r w:rsidR="003F3383" w:rsidRPr="00D46AF9">
        <w:t xml:space="preserve">a </w:t>
      </w:r>
      <w:r w:rsidRPr="00D46AF9">
        <w:t xml:space="preserve">successful </w:t>
      </w:r>
      <w:r w:rsidR="00A8655E" w:rsidRPr="00D46AF9">
        <w:t xml:space="preserve">and dominant part of many </w:t>
      </w:r>
      <w:r w:rsidR="00FD03C1" w:rsidRPr="00D46AF9">
        <w:t xml:space="preserve">established rental </w:t>
      </w:r>
      <w:r w:rsidR="00A8655E" w:rsidRPr="00D46AF9">
        <w:t>markets including the US</w:t>
      </w:r>
      <w:r w:rsidR="003F3383" w:rsidRPr="00D46AF9">
        <w:t xml:space="preserve"> and</w:t>
      </w:r>
      <w:r w:rsidR="00A8655E" w:rsidRPr="00D46AF9">
        <w:t xml:space="preserve"> UK.</w:t>
      </w:r>
      <w:r w:rsidR="00281153" w:rsidRPr="00D46AF9">
        <w:t xml:space="preserve"> T</w:t>
      </w:r>
      <w:r w:rsidR="006A6211" w:rsidRPr="00D46AF9">
        <w:t>he next generation of companies set to succ</w:t>
      </w:r>
      <w:r w:rsidR="00F0008E" w:rsidRPr="00D46AF9">
        <w:t>e</w:t>
      </w:r>
      <w:r w:rsidR="006A6211" w:rsidRPr="00D46AF9">
        <w:t>e</w:t>
      </w:r>
      <w:r w:rsidR="00F0008E" w:rsidRPr="00D46AF9">
        <w:t>d</w:t>
      </w:r>
      <w:r w:rsidR="006A6211" w:rsidRPr="00D46AF9">
        <w:t xml:space="preserve"> in this segment are those that </w:t>
      </w:r>
      <w:r w:rsidR="00281153" w:rsidRPr="00D46AF9">
        <w:t xml:space="preserve">excel in property development </w:t>
      </w:r>
      <w:r w:rsidR="0001578B" w:rsidRPr="00D46AF9">
        <w:t>and</w:t>
      </w:r>
      <w:r w:rsidR="00281153" w:rsidRPr="00D46AF9">
        <w:t xml:space="preserve"> resident retention and satisfaction.</w:t>
      </w:r>
    </w:p>
    <w:p w14:paraId="5F560107" w14:textId="77777777" w:rsidR="00322046" w:rsidRPr="00D46AF9" w:rsidRDefault="00322046" w:rsidP="001948B7">
      <w:pPr>
        <w:spacing w:after="0" w:line="240" w:lineRule="auto"/>
      </w:pPr>
    </w:p>
    <w:p w14:paraId="341BA772" w14:textId="66E7258D" w:rsidR="00387725" w:rsidRPr="00D46AF9" w:rsidRDefault="00387725" w:rsidP="000246D9">
      <w:pPr>
        <w:rPr>
          <w:b/>
          <w:bCs/>
        </w:rPr>
      </w:pPr>
      <w:r w:rsidRPr="00D46AF9">
        <w:rPr>
          <w:b/>
          <w:bCs/>
        </w:rPr>
        <w:t>Consumers' Growing Appetite for a Hospitality Approach</w:t>
      </w:r>
    </w:p>
    <w:p w14:paraId="792044EE" w14:textId="22E74DAE" w:rsidR="00345628" w:rsidRPr="00D46AF9" w:rsidRDefault="00BC4C90" w:rsidP="00387725">
      <w:r w:rsidRPr="00D46AF9">
        <w:t>I</w:t>
      </w:r>
      <w:r w:rsidR="001C3EA6" w:rsidRPr="00D46AF9">
        <w:t>nvestors</w:t>
      </w:r>
      <w:r w:rsidR="00ED073F">
        <w:t xml:space="preserve"> and operators</w:t>
      </w:r>
      <w:r w:rsidRPr="00D46AF9">
        <w:t xml:space="preserve"> with hospitality experience</w:t>
      </w:r>
      <w:r w:rsidR="00387725" w:rsidRPr="00D46AF9">
        <w:t xml:space="preserve"> have a unique advantage in catering to the</w:t>
      </w:r>
      <w:r w:rsidR="0064323B">
        <w:t xml:space="preserve"> </w:t>
      </w:r>
      <w:r w:rsidR="00387725" w:rsidRPr="00D46AF9">
        <w:t>evolving consumer expectations</w:t>
      </w:r>
      <w:r w:rsidR="00A7132D" w:rsidRPr="00D46AF9">
        <w:t xml:space="preserve"> </w:t>
      </w:r>
      <w:r w:rsidR="00175085" w:rsidRPr="00D46AF9">
        <w:t xml:space="preserve">of "branded living" and the growing demand for service-oriented residences </w:t>
      </w:r>
      <w:r w:rsidR="00A7132D" w:rsidRPr="00D46AF9">
        <w:t xml:space="preserve">which </w:t>
      </w:r>
      <w:r w:rsidR="00387725" w:rsidRPr="00D46AF9">
        <w:t>include concierge</w:t>
      </w:r>
      <w:r w:rsidR="006908ED" w:rsidRPr="00D46AF9">
        <w:t>, housekeeping, maintenance</w:t>
      </w:r>
      <w:r w:rsidR="00F40B08" w:rsidRPr="00D46AF9">
        <w:t>,</w:t>
      </w:r>
      <w:r w:rsidR="006908ED" w:rsidRPr="00D46AF9">
        <w:t xml:space="preserve"> pet </w:t>
      </w:r>
      <w:r w:rsidR="00387725" w:rsidRPr="00D46AF9">
        <w:t xml:space="preserve">services, </w:t>
      </w:r>
      <w:r w:rsidR="00F2599B" w:rsidRPr="00D46AF9">
        <w:t xml:space="preserve">fitness centres, </w:t>
      </w:r>
      <w:r w:rsidR="00387725" w:rsidRPr="00D46AF9">
        <w:t xml:space="preserve">communal </w:t>
      </w:r>
      <w:r w:rsidR="006908ED" w:rsidRPr="00D46AF9">
        <w:t xml:space="preserve">and working </w:t>
      </w:r>
      <w:r w:rsidR="00387725" w:rsidRPr="00D46AF9">
        <w:t>spaces,</w:t>
      </w:r>
      <w:r w:rsidR="006908ED" w:rsidRPr="00D46AF9">
        <w:t xml:space="preserve"> </w:t>
      </w:r>
      <w:r w:rsidR="00387725" w:rsidRPr="00D46AF9">
        <w:t xml:space="preserve">restaurants, bars and entertainment facilities - all </w:t>
      </w:r>
      <w:r w:rsidR="006908ED" w:rsidRPr="00D46AF9">
        <w:t xml:space="preserve">core </w:t>
      </w:r>
      <w:r w:rsidR="00387725" w:rsidRPr="00D46AF9">
        <w:t xml:space="preserve">hallmarks of the hospitality industry. </w:t>
      </w:r>
    </w:p>
    <w:p w14:paraId="3385D551" w14:textId="3E6E1D35" w:rsidR="00EF04FE" w:rsidRPr="00D46AF9" w:rsidRDefault="00387725" w:rsidP="00387725">
      <w:r w:rsidRPr="00D46AF9">
        <w:t xml:space="preserve">Pro-Invest Group is harnessing its expertise to create </w:t>
      </w:r>
      <w:r w:rsidR="002B5C69" w:rsidRPr="00D46AF9">
        <w:t xml:space="preserve">and manage </w:t>
      </w:r>
      <w:r w:rsidRPr="00D46AF9">
        <w:t>residential properties that provid</w:t>
      </w:r>
      <w:r w:rsidR="002B5C69" w:rsidRPr="00D46AF9">
        <w:t>e</w:t>
      </w:r>
      <w:r w:rsidRPr="00D46AF9">
        <w:t xml:space="preserve"> a holistic living experience</w:t>
      </w:r>
      <w:r w:rsidR="00EF04FE" w:rsidRPr="00D46AF9">
        <w:t xml:space="preserve"> including:</w:t>
      </w:r>
    </w:p>
    <w:p w14:paraId="0E186030" w14:textId="77777777" w:rsidR="005D72B2" w:rsidRPr="00D46AF9" w:rsidRDefault="005D72B2" w:rsidP="005D72B2">
      <w:pPr>
        <w:pStyle w:val="ListParagraph"/>
        <w:numPr>
          <w:ilvl w:val="0"/>
          <w:numId w:val="3"/>
        </w:numPr>
      </w:pPr>
      <w:r w:rsidRPr="00D46AF9">
        <w:rPr>
          <w:b/>
          <w:bCs/>
        </w:rPr>
        <w:t>Community Building:</w:t>
      </w:r>
      <w:r w:rsidRPr="00D46AF9">
        <w:t xml:space="preserve"> Fostering a sense of belonging, connection and community among residents that leads to higher tenant retention and a more vibrant living environment.</w:t>
      </w:r>
    </w:p>
    <w:p w14:paraId="35AFD1F1" w14:textId="068F2BFE" w:rsidR="005D72B2" w:rsidRPr="00D46AF9" w:rsidRDefault="005D72B2" w:rsidP="005D72B2">
      <w:pPr>
        <w:pStyle w:val="ListParagraph"/>
        <w:numPr>
          <w:ilvl w:val="0"/>
          <w:numId w:val="3"/>
        </w:numPr>
      </w:pPr>
      <w:r w:rsidRPr="00D46AF9">
        <w:rPr>
          <w:b/>
          <w:bCs/>
        </w:rPr>
        <w:t>Personalised Services:</w:t>
      </w:r>
      <w:r w:rsidRPr="00D46AF9">
        <w:t xml:space="preserve"> The </w:t>
      </w:r>
      <w:r w:rsidR="00DD1ED6" w:rsidRPr="00D46AF9">
        <w:t xml:space="preserve">wide-ranging </w:t>
      </w:r>
      <w:r w:rsidR="00B10F08" w:rsidRPr="00D46AF9">
        <w:t>availability of c</w:t>
      </w:r>
      <w:r w:rsidRPr="00D46AF9">
        <w:t xml:space="preserve">oncierge and front desk </w:t>
      </w:r>
      <w:r w:rsidR="00B10F08" w:rsidRPr="00D46AF9">
        <w:t xml:space="preserve">type services </w:t>
      </w:r>
      <w:r w:rsidRPr="00D46AF9">
        <w:t xml:space="preserve">at your fingertips. Providing residents tailored </w:t>
      </w:r>
      <w:r w:rsidR="00B10F08" w:rsidRPr="00D46AF9">
        <w:t>solutions</w:t>
      </w:r>
      <w:r w:rsidRPr="00D46AF9">
        <w:t xml:space="preserve"> to enhance their quality of life</w:t>
      </w:r>
      <w:r w:rsidR="002C219D" w:rsidRPr="00D46AF9">
        <w:t>, all enabled by technology</w:t>
      </w:r>
      <w:r w:rsidR="00A56AC9" w:rsidRPr="00D46AF9">
        <w:t>.</w:t>
      </w:r>
    </w:p>
    <w:p w14:paraId="16D9C81D" w14:textId="55B5BB9F" w:rsidR="005D72B2" w:rsidRPr="00D46AF9" w:rsidRDefault="005D72B2" w:rsidP="005D72B2">
      <w:pPr>
        <w:pStyle w:val="ListParagraph"/>
        <w:numPr>
          <w:ilvl w:val="0"/>
          <w:numId w:val="3"/>
        </w:numPr>
      </w:pPr>
      <w:r w:rsidRPr="00D46AF9">
        <w:rPr>
          <w:b/>
          <w:bCs/>
        </w:rPr>
        <w:t>Amenities and Facilities:</w:t>
      </w:r>
      <w:r w:rsidRPr="00D46AF9">
        <w:t xml:space="preserve"> </w:t>
      </w:r>
      <w:r w:rsidR="00622FB1" w:rsidRPr="00D46AF9">
        <w:t xml:space="preserve">From wellness facilities, </w:t>
      </w:r>
      <w:r w:rsidR="001433D3" w:rsidRPr="00D46AF9">
        <w:t xml:space="preserve">retail partnerships, </w:t>
      </w:r>
      <w:r w:rsidR="00622FB1" w:rsidRPr="00D46AF9">
        <w:t xml:space="preserve">branded </w:t>
      </w:r>
      <w:r w:rsidR="0064323B" w:rsidRPr="00D46AF9">
        <w:t>restaurants,</w:t>
      </w:r>
      <w:r w:rsidR="00622FB1" w:rsidRPr="00D46AF9">
        <w:t xml:space="preserve"> and bar venues</w:t>
      </w:r>
      <w:r w:rsidR="00356E46" w:rsidRPr="00D46AF9">
        <w:t xml:space="preserve">, </w:t>
      </w:r>
      <w:r w:rsidR="00302932" w:rsidRPr="00D46AF9">
        <w:t>to loyalty program</w:t>
      </w:r>
      <w:r w:rsidR="003D58B8" w:rsidRPr="00D46AF9">
        <w:t>me</w:t>
      </w:r>
      <w:r w:rsidR="00302932" w:rsidRPr="00D46AF9">
        <w:t>s a</w:t>
      </w:r>
      <w:r w:rsidR="003D58B8" w:rsidRPr="00D46AF9">
        <w:t xml:space="preserve">nd </w:t>
      </w:r>
      <w:r w:rsidR="002A3594" w:rsidRPr="00D46AF9">
        <w:t>s</w:t>
      </w:r>
      <w:r w:rsidRPr="00D46AF9">
        <w:t>ocial spaces, residences with these features attract</w:t>
      </w:r>
      <w:r w:rsidR="001433D3" w:rsidRPr="00D46AF9">
        <w:t xml:space="preserve"> </w:t>
      </w:r>
      <w:r w:rsidRPr="00D46AF9">
        <w:t xml:space="preserve">tenants, increases rental </w:t>
      </w:r>
      <w:r w:rsidR="0004794D" w:rsidRPr="00D46AF9">
        <w:t>prices,</w:t>
      </w:r>
      <w:r w:rsidRPr="00D46AF9">
        <w:t xml:space="preserve"> and enhances overall satisfaction.</w:t>
      </w:r>
    </w:p>
    <w:p w14:paraId="12165598" w14:textId="095E676A" w:rsidR="002B1122" w:rsidRPr="00D46AF9" w:rsidRDefault="002B1122" w:rsidP="00EF04FE">
      <w:pPr>
        <w:pStyle w:val="ListParagraph"/>
        <w:numPr>
          <w:ilvl w:val="0"/>
          <w:numId w:val="3"/>
        </w:numPr>
      </w:pPr>
      <w:r w:rsidRPr="00D46AF9">
        <w:rPr>
          <w:b/>
          <w:bCs/>
        </w:rPr>
        <w:t>Design</w:t>
      </w:r>
      <w:r w:rsidR="00C07C4F" w:rsidRPr="00D46AF9">
        <w:rPr>
          <w:b/>
          <w:bCs/>
        </w:rPr>
        <w:t>-led</w:t>
      </w:r>
      <w:r w:rsidRPr="00D46AF9">
        <w:rPr>
          <w:b/>
          <w:bCs/>
        </w:rPr>
        <w:t>:</w:t>
      </w:r>
      <w:r w:rsidRPr="00D46AF9">
        <w:t xml:space="preserve"> </w:t>
      </w:r>
      <w:r w:rsidR="001C55E5" w:rsidRPr="00D46AF9">
        <w:t>I</w:t>
      </w:r>
      <w:r w:rsidRPr="00D46AF9">
        <w:t>nviting and aesthetically pleasing spaces</w:t>
      </w:r>
      <w:r w:rsidR="00F040D4" w:rsidRPr="00D46AF9">
        <w:t xml:space="preserve"> focused on </w:t>
      </w:r>
      <w:r w:rsidRPr="00D46AF9">
        <w:t xml:space="preserve">ambiance, functionality, and comfort. </w:t>
      </w:r>
      <w:r w:rsidR="001C55E5" w:rsidRPr="00D46AF9">
        <w:t>Environments where residents can truly thrive.</w:t>
      </w:r>
    </w:p>
    <w:p w14:paraId="46CB965F" w14:textId="0D3F24E1" w:rsidR="00EF04FE" w:rsidRPr="00D46AF9" w:rsidRDefault="00EF04FE" w:rsidP="00EF04FE">
      <w:pPr>
        <w:pStyle w:val="ListParagraph"/>
        <w:numPr>
          <w:ilvl w:val="0"/>
          <w:numId w:val="3"/>
        </w:numPr>
      </w:pPr>
      <w:r w:rsidRPr="00D46AF9">
        <w:rPr>
          <w:b/>
          <w:bCs/>
        </w:rPr>
        <w:t>Flexibility and Adaptability:</w:t>
      </w:r>
      <w:r w:rsidRPr="00D46AF9">
        <w:t xml:space="preserve"> </w:t>
      </w:r>
      <w:r w:rsidR="00B81B43" w:rsidRPr="00D46AF9">
        <w:t xml:space="preserve">Flexibility in lease terms and accommodation options caters to a diverse tenant base. </w:t>
      </w:r>
      <w:r w:rsidR="009C7E97" w:rsidRPr="00D46AF9">
        <w:t>'All-inclusive' options provide a new</w:t>
      </w:r>
      <w:r w:rsidR="00F824E5" w:rsidRPr="00D46AF9">
        <w:t>,</w:t>
      </w:r>
      <w:r w:rsidR="009C7E97" w:rsidRPr="00D46AF9">
        <w:t xml:space="preserve"> hassle-free way for residents to enjoy a wide range of services and amenities without multiple bills and arrangements.</w:t>
      </w:r>
    </w:p>
    <w:p w14:paraId="4235DB39" w14:textId="45E918F9" w:rsidR="00016342" w:rsidRPr="00D46AF9" w:rsidRDefault="006835B0" w:rsidP="00387725">
      <w:r w:rsidRPr="00D46AF9">
        <w:t xml:space="preserve">The company’s well-established </w:t>
      </w:r>
      <w:r w:rsidR="00FB5391" w:rsidRPr="00D46AF9">
        <w:t xml:space="preserve">approach to ESG </w:t>
      </w:r>
      <w:r w:rsidR="00016342" w:rsidRPr="00D46AF9">
        <w:t>will</w:t>
      </w:r>
      <w:r w:rsidR="00C8268F" w:rsidRPr="00D46AF9">
        <w:t xml:space="preserve"> be embedded in all developments</w:t>
      </w:r>
      <w:r w:rsidR="00A9342C" w:rsidRPr="00D46AF9">
        <w:t xml:space="preserve">. This is critical </w:t>
      </w:r>
      <w:r w:rsidR="00297B3B" w:rsidRPr="00D46AF9">
        <w:t xml:space="preserve">to align </w:t>
      </w:r>
      <w:r w:rsidR="00BD4AC4" w:rsidRPr="00D46AF9">
        <w:t xml:space="preserve">with evolving consumer </w:t>
      </w:r>
      <w:r w:rsidR="00297B3B" w:rsidRPr="00D46AF9">
        <w:t>preferences for sustainable and responsible living</w:t>
      </w:r>
      <w:r w:rsidR="00860BA0" w:rsidRPr="00D46AF9">
        <w:t>.</w:t>
      </w:r>
      <w:r w:rsidR="00297B3B" w:rsidRPr="00D46AF9">
        <w:t xml:space="preserve"> </w:t>
      </w:r>
      <w:r w:rsidR="00F642ED" w:rsidRPr="00D46AF9">
        <w:t>Moreover, it provides investors with confidence that they not only mee</w:t>
      </w:r>
      <w:r w:rsidR="00860BA0" w:rsidRPr="00D46AF9">
        <w:t>t</w:t>
      </w:r>
      <w:r w:rsidR="00F642ED" w:rsidRPr="00D46AF9">
        <w:t xml:space="preserve"> but, where appropriate, exceed </w:t>
      </w:r>
      <w:r w:rsidR="00AA1270" w:rsidRPr="00D46AF9">
        <w:t>G</w:t>
      </w:r>
      <w:r w:rsidR="00F642ED" w:rsidRPr="00D46AF9">
        <w:t xml:space="preserve">overnment requirements in this space, leading to higher </w:t>
      </w:r>
      <w:r w:rsidR="00AA1270" w:rsidRPr="00D46AF9">
        <w:t>long</w:t>
      </w:r>
      <w:r w:rsidR="00F577B3" w:rsidRPr="00D46AF9">
        <w:t>-</w:t>
      </w:r>
      <w:r w:rsidR="00AA1270" w:rsidRPr="00D46AF9">
        <w:t xml:space="preserve">term </w:t>
      </w:r>
      <w:r w:rsidR="00297B3B" w:rsidRPr="00D46AF9">
        <w:t>returns</w:t>
      </w:r>
      <w:r w:rsidR="00F642ED" w:rsidRPr="00D46AF9">
        <w:t>.</w:t>
      </w:r>
    </w:p>
    <w:p w14:paraId="377887B8" w14:textId="40DACF58" w:rsidR="00A902AF" w:rsidRPr="00D46AF9" w:rsidRDefault="00387725" w:rsidP="00B742EF">
      <w:r w:rsidRPr="00D46AF9">
        <w:t xml:space="preserve">Pro-Invest Group's unique position as a real estate private equity firm with a strong foundation in hospitality places them at the forefront of harnessing the </w:t>
      </w:r>
      <w:r w:rsidR="006C6355" w:rsidRPr="00D46AF9">
        <w:t xml:space="preserve">opportunities </w:t>
      </w:r>
      <w:r w:rsidR="00297B3B" w:rsidRPr="00D46AF9">
        <w:t xml:space="preserve">in the market </w:t>
      </w:r>
      <w:r w:rsidR="00281153" w:rsidRPr="00D46AF9">
        <w:t>and sh</w:t>
      </w:r>
      <w:r w:rsidRPr="00D46AF9">
        <w:t>ap</w:t>
      </w:r>
      <w:r w:rsidR="00297B3B" w:rsidRPr="00D46AF9">
        <w:t>ing</w:t>
      </w:r>
      <w:r w:rsidRPr="00D46AF9">
        <w:t xml:space="preserve"> the future of residential real estate in Australia. </w:t>
      </w:r>
    </w:p>
    <w:p w14:paraId="1B020C95" w14:textId="77777777" w:rsidR="00F0405A" w:rsidRPr="00D46AF9" w:rsidRDefault="00F0405A" w:rsidP="001D785A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jc w:val="center"/>
        <w:rPr>
          <w:rFonts w:cstheme="minorHAnsi"/>
          <w:b/>
          <w:color w:val="000000" w:themeColor="text1"/>
        </w:rPr>
      </w:pPr>
      <w:r w:rsidRPr="00D46AF9">
        <w:rPr>
          <w:rFonts w:cstheme="minorHAnsi"/>
          <w:b/>
          <w:color w:val="000000" w:themeColor="text1"/>
        </w:rPr>
        <w:t>-ENDS-</w:t>
      </w:r>
    </w:p>
    <w:p w14:paraId="26EE3FD2" w14:textId="77777777" w:rsidR="007F5525" w:rsidRPr="00D46AF9" w:rsidRDefault="007F5525" w:rsidP="001D785A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9D9EF61" w14:textId="07A02D15" w:rsidR="00F0405A" w:rsidRPr="00D46AF9" w:rsidRDefault="00F0405A" w:rsidP="00F0405A">
      <w:pPr>
        <w:spacing w:after="0" w:line="240" w:lineRule="auto"/>
        <w:rPr>
          <w:rFonts w:cstheme="minorHAnsi"/>
          <w:b/>
        </w:rPr>
      </w:pPr>
      <w:r w:rsidRPr="00D46AF9">
        <w:rPr>
          <w:rFonts w:cstheme="minorHAnsi"/>
          <w:b/>
        </w:rPr>
        <w:lastRenderedPageBreak/>
        <w:t xml:space="preserve">For media information contact: </w:t>
      </w:r>
    </w:p>
    <w:p w14:paraId="18C13AF3" w14:textId="760823C2" w:rsidR="00F0405A" w:rsidRPr="00D46AF9" w:rsidRDefault="001E35A7" w:rsidP="00F0405A">
      <w:pPr>
        <w:spacing w:after="0" w:line="240" w:lineRule="auto"/>
        <w:rPr>
          <w:rFonts w:cstheme="minorHAnsi"/>
          <w:b/>
        </w:rPr>
      </w:pPr>
      <w:r w:rsidRPr="00D46AF9">
        <w:rPr>
          <w:rFonts w:cstheme="minorHAnsi"/>
          <w:b/>
        </w:rPr>
        <w:t>Emma Corcoran</w:t>
      </w:r>
    </w:p>
    <w:p w14:paraId="47FF4688" w14:textId="61437E0E" w:rsidR="00F0405A" w:rsidRPr="00D46AF9" w:rsidRDefault="001E35A7" w:rsidP="00F0405A">
      <w:pPr>
        <w:spacing w:after="0" w:line="240" w:lineRule="auto"/>
        <w:rPr>
          <w:rFonts w:cstheme="minorHAnsi"/>
          <w:bCs/>
        </w:rPr>
      </w:pPr>
      <w:r w:rsidRPr="00D46AF9">
        <w:rPr>
          <w:rFonts w:cstheme="minorHAnsi"/>
          <w:bCs/>
        </w:rPr>
        <w:t xml:space="preserve">Pro-invest </w:t>
      </w:r>
      <w:r w:rsidR="003A2808" w:rsidRPr="00D46AF9">
        <w:rPr>
          <w:rFonts w:cstheme="minorHAnsi"/>
          <w:bCs/>
        </w:rPr>
        <w:t>Group.</w:t>
      </w:r>
    </w:p>
    <w:p w14:paraId="6E2A3002" w14:textId="74ADDFC2" w:rsidR="00F0405A" w:rsidRPr="00D46AF9" w:rsidRDefault="00F0405A" w:rsidP="001E35A7">
      <w:pPr>
        <w:spacing w:after="0" w:line="240" w:lineRule="auto"/>
        <w:rPr>
          <w:rFonts w:cstheme="minorHAnsi"/>
          <w:b/>
          <w:color w:val="000000" w:themeColor="text1"/>
        </w:rPr>
      </w:pPr>
      <w:r w:rsidRPr="00D46AF9">
        <w:rPr>
          <w:rFonts w:cstheme="minorHAnsi"/>
          <w:bCs/>
        </w:rPr>
        <w:t xml:space="preserve">P: +61 </w:t>
      </w:r>
      <w:r w:rsidR="00087FA7" w:rsidRPr="00D46AF9">
        <w:rPr>
          <w:rFonts w:cstheme="minorHAnsi"/>
          <w:bCs/>
        </w:rPr>
        <w:t>2 9237 6910</w:t>
      </w:r>
      <w:r w:rsidRPr="00D46AF9">
        <w:rPr>
          <w:rFonts w:cstheme="minorHAnsi"/>
          <w:bCs/>
        </w:rPr>
        <w:t xml:space="preserve"> </w:t>
      </w:r>
      <w:r w:rsidR="001D785A" w:rsidRPr="00D46AF9">
        <w:rPr>
          <w:rFonts w:cstheme="minorHAnsi"/>
          <w:bCs/>
        </w:rPr>
        <w:t xml:space="preserve">/ </w:t>
      </w:r>
      <w:r w:rsidRPr="00D46AF9">
        <w:rPr>
          <w:rFonts w:cstheme="minorHAnsi"/>
          <w:bCs/>
        </w:rPr>
        <w:t xml:space="preserve">E: </w:t>
      </w:r>
      <w:hyperlink r:id="rId12" w:history="1">
        <w:r w:rsidR="001E35A7" w:rsidRPr="00D46AF9">
          <w:rPr>
            <w:rStyle w:val="Hyperlink"/>
          </w:rPr>
          <w:t>emma.corcoran@proinvestgroup.com</w:t>
        </w:r>
      </w:hyperlink>
      <w:r w:rsidR="001E35A7" w:rsidRPr="00D46AF9">
        <w:t xml:space="preserve"> </w:t>
      </w:r>
    </w:p>
    <w:p w14:paraId="6380B270" w14:textId="77777777" w:rsidR="00F0405A" w:rsidRPr="00D46AF9" w:rsidRDefault="00F0405A" w:rsidP="00F0405A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b/>
          <w:color w:val="000000" w:themeColor="text1"/>
        </w:rPr>
      </w:pPr>
    </w:p>
    <w:p w14:paraId="3C6E8E85" w14:textId="350DECFA" w:rsidR="0029465C" w:rsidRPr="00D46AF9" w:rsidRDefault="0029465C" w:rsidP="00F0405A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b/>
          <w:color w:val="000000" w:themeColor="text1"/>
        </w:rPr>
      </w:pPr>
      <w:r w:rsidRPr="00D46AF9">
        <w:rPr>
          <w:rFonts w:cstheme="minorHAnsi"/>
          <w:b/>
          <w:color w:val="000000" w:themeColor="text1"/>
        </w:rPr>
        <w:t>Notes to Editors:</w:t>
      </w:r>
    </w:p>
    <w:p w14:paraId="1CA433C8" w14:textId="77777777" w:rsidR="00B21FAF" w:rsidRPr="00D46AF9" w:rsidRDefault="00B21FAF" w:rsidP="00F0405A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</w:pPr>
    </w:p>
    <w:p w14:paraId="7619AC12" w14:textId="68D664FF" w:rsidR="00690234" w:rsidRPr="00D46AF9" w:rsidRDefault="00B21FAF" w:rsidP="00F0405A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b/>
          <w:i/>
          <w:iCs/>
          <w:color w:val="000000" w:themeColor="text1"/>
          <w:sz w:val="20"/>
          <w:szCs w:val="20"/>
        </w:rPr>
      </w:pPr>
      <w:r w:rsidRPr="00D46AF9">
        <w:rPr>
          <w:i/>
          <w:iCs/>
          <w:sz w:val="20"/>
          <w:szCs w:val="20"/>
        </w:rPr>
        <w:t>*Median home prices have surged by over 200% in two decades</w:t>
      </w:r>
      <w:r w:rsidRPr="00D46AF9">
        <w:rPr>
          <w:rStyle w:val="EndnoteReference"/>
          <w:i/>
          <w:iCs/>
          <w:sz w:val="20"/>
          <w:szCs w:val="20"/>
        </w:rPr>
        <w:endnoteReference w:id="3"/>
      </w:r>
      <w:r w:rsidRPr="00D46AF9">
        <w:rPr>
          <w:i/>
          <w:iCs/>
          <w:sz w:val="20"/>
          <w:szCs w:val="20"/>
        </w:rPr>
        <w:t>, while median income has grown by only 53%</w:t>
      </w:r>
      <w:r w:rsidRPr="00D46AF9">
        <w:rPr>
          <w:rStyle w:val="EndnoteReference"/>
          <w:i/>
          <w:iCs/>
          <w:sz w:val="20"/>
          <w:szCs w:val="20"/>
        </w:rPr>
        <w:endnoteReference w:id="4"/>
      </w:r>
      <w:r w:rsidRPr="00D46AF9">
        <w:rPr>
          <w:i/>
          <w:iCs/>
          <w:sz w:val="20"/>
          <w:szCs w:val="20"/>
        </w:rPr>
        <w:t>. Additionally, completed units have fallen by nearly 70% since 2017</w:t>
      </w:r>
      <w:r w:rsidRPr="00D46AF9">
        <w:rPr>
          <w:rStyle w:val="EndnoteReference"/>
          <w:i/>
          <w:iCs/>
          <w:sz w:val="20"/>
          <w:szCs w:val="20"/>
        </w:rPr>
        <w:endnoteReference w:id="5"/>
      </w:r>
      <w:r w:rsidRPr="00D46AF9">
        <w:rPr>
          <w:i/>
          <w:iCs/>
          <w:sz w:val="20"/>
          <w:szCs w:val="20"/>
        </w:rPr>
        <w:t>, and development approvals have dropped significantly</w:t>
      </w:r>
      <w:r w:rsidRPr="00D46AF9">
        <w:rPr>
          <w:rStyle w:val="EndnoteReference"/>
          <w:i/>
          <w:iCs/>
          <w:sz w:val="20"/>
          <w:szCs w:val="20"/>
        </w:rPr>
        <w:endnoteReference w:id="6"/>
      </w:r>
      <w:r w:rsidR="005420A3" w:rsidRPr="00D46AF9">
        <w:rPr>
          <w:i/>
          <w:iCs/>
          <w:sz w:val="20"/>
          <w:szCs w:val="20"/>
        </w:rPr>
        <w:t>.</w:t>
      </w:r>
    </w:p>
    <w:p w14:paraId="61AE3A8A" w14:textId="77777777" w:rsidR="00B21FAF" w:rsidRPr="00D46AF9" w:rsidRDefault="00B21FAF" w:rsidP="00F0405A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b/>
          <w:color w:val="000000" w:themeColor="text1"/>
        </w:rPr>
      </w:pPr>
    </w:p>
    <w:p w14:paraId="459AD7DC" w14:textId="77777777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b/>
          <w:color w:val="000000" w:themeColor="text1"/>
        </w:rPr>
      </w:pPr>
      <w:r w:rsidRPr="00D46AF9">
        <w:rPr>
          <w:rFonts w:cstheme="minorHAnsi"/>
          <w:b/>
          <w:color w:val="000000" w:themeColor="text1"/>
        </w:rPr>
        <w:t>Pro-invest Group:</w:t>
      </w:r>
    </w:p>
    <w:p w14:paraId="6057EC4F" w14:textId="77777777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b/>
          <w:color w:val="000000" w:themeColor="text1"/>
        </w:rPr>
      </w:pPr>
    </w:p>
    <w:p w14:paraId="2811874A" w14:textId="1C240E50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color w:val="000000" w:themeColor="text1"/>
          <w:sz w:val="20"/>
          <w:szCs w:val="20"/>
        </w:rPr>
      </w:pPr>
      <w:r w:rsidRPr="00D46AF9">
        <w:rPr>
          <w:rFonts w:cstheme="minorHAnsi"/>
          <w:color w:val="000000" w:themeColor="text1"/>
          <w:sz w:val="20"/>
          <w:szCs w:val="20"/>
        </w:rPr>
        <w:t xml:space="preserve">Established in 2010, Pro-invest Group is an investment firm focusing on living/ operational asset classes within Private Equity Real Estate on behalf of global institutional investors across Europe, Middle </w:t>
      </w:r>
      <w:r w:rsidR="00B40468" w:rsidRPr="00D46AF9">
        <w:rPr>
          <w:rFonts w:cstheme="minorHAnsi"/>
          <w:color w:val="000000" w:themeColor="text1"/>
          <w:sz w:val="20"/>
          <w:szCs w:val="20"/>
        </w:rPr>
        <w:t>East,</w:t>
      </w:r>
      <w:r w:rsidRPr="00D46AF9">
        <w:rPr>
          <w:rFonts w:cstheme="minorHAnsi"/>
          <w:color w:val="000000" w:themeColor="text1"/>
          <w:sz w:val="20"/>
          <w:szCs w:val="20"/>
        </w:rPr>
        <w:t xml:space="preserve"> and the APAC region. </w:t>
      </w:r>
    </w:p>
    <w:p w14:paraId="437FEDA3" w14:textId="77777777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color w:val="000000" w:themeColor="text1"/>
          <w:sz w:val="20"/>
          <w:szCs w:val="20"/>
        </w:rPr>
      </w:pPr>
    </w:p>
    <w:p w14:paraId="1DCC5232" w14:textId="1147CF08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color w:val="000000" w:themeColor="text1"/>
          <w:sz w:val="20"/>
          <w:szCs w:val="20"/>
        </w:rPr>
      </w:pPr>
      <w:r w:rsidRPr="00D46AF9">
        <w:rPr>
          <w:rFonts w:cstheme="minorHAnsi"/>
          <w:color w:val="000000" w:themeColor="text1"/>
          <w:sz w:val="20"/>
          <w:szCs w:val="20"/>
        </w:rPr>
        <w:t>Pro-invest Group manages c. AUD$3 billion through a combination of discretionary funds, joint ventures, and managed accounts. Pro-invest Group’s integrated platform allows for a proven value-add investment approach along the entire value chain from arranging funding through to repositioning/(re)developing, operating and asset managing individual assets as well as portfolios. Pro-invest Group assets include 32 hotels (</w:t>
      </w:r>
      <w:r w:rsidR="005F6262" w:rsidRPr="00D46AF9">
        <w:rPr>
          <w:rFonts w:cstheme="minorHAnsi"/>
          <w:color w:val="000000" w:themeColor="text1"/>
          <w:sz w:val="20"/>
          <w:szCs w:val="20"/>
        </w:rPr>
        <w:t>c.</w:t>
      </w:r>
      <w:r w:rsidRPr="00D46AF9">
        <w:rPr>
          <w:rFonts w:cstheme="minorHAnsi"/>
          <w:color w:val="000000" w:themeColor="text1"/>
          <w:sz w:val="20"/>
          <w:szCs w:val="20"/>
        </w:rPr>
        <w:t xml:space="preserve">6,000 rooms) in Australia and New Zealand, in addition to commercial and mixed-use properties. </w:t>
      </w:r>
    </w:p>
    <w:p w14:paraId="427A02AF" w14:textId="77777777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color w:val="000000" w:themeColor="text1"/>
          <w:sz w:val="20"/>
          <w:szCs w:val="20"/>
        </w:rPr>
      </w:pPr>
    </w:p>
    <w:p w14:paraId="5DC5C818" w14:textId="77777777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color w:val="000000" w:themeColor="text1"/>
          <w:sz w:val="20"/>
          <w:szCs w:val="20"/>
        </w:rPr>
      </w:pPr>
      <w:r w:rsidRPr="00D46AF9">
        <w:rPr>
          <w:rFonts w:cstheme="minorHAnsi"/>
          <w:color w:val="000000" w:themeColor="text1"/>
          <w:sz w:val="20"/>
          <w:szCs w:val="20"/>
        </w:rPr>
        <w:t>Having established itself as a management platform in Australasia, the Pro-invest Group London office was established to focus on growth in the UK and Europe. Simultaneously Pro-invest Group are raising a third value-add fund of A$500 million for opportunistic investment in Asia-Pacific.</w:t>
      </w:r>
    </w:p>
    <w:p w14:paraId="079A165E" w14:textId="77777777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color w:val="000000" w:themeColor="text1"/>
          <w:sz w:val="20"/>
          <w:szCs w:val="20"/>
        </w:rPr>
      </w:pPr>
    </w:p>
    <w:p w14:paraId="3D58B8DD" w14:textId="77777777" w:rsidR="00F802F0" w:rsidRPr="00D46AF9" w:rsidRDefault="00F802F0" w:rsidP="00F802F0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cstheme="minorHAnsi"/>
          <w:color w:val="000000" w:themeColor="text1"/>
          <w:sz w:val="20"/>
          <w:szCs w:val="20"/>
          <w:u w:val="single"/>
        </w:rPr>
      </w:pPr>
      <w:r w:rsidRPr="00D46AF9">
        <w:rPr>
          <w:rFonts w:cstheme="minorHAnsi"/>
          <w:color w:val="000000" w:themeColor="text1"/>
          <w:sz w:val="20"/>
          <w:szCs w:val="20"/>
        </w:rPr>
        <w:t>Further information found here</w:t>
      </w:r>
      <w:hyperlink r:id="rId13">
        <w:r w:rsidRPr="00D46AF9">
          <w:rPr>
            <w:rFonts w:cstheme="minorHAnsi"/>
            <w:color w:val="000000" w:themeColor="text1"/>
            <w:sz w:val="20"/>
            <w:szCs w:val="20"/>
          </w:rPr>
          <w:t xml:space="preserve"> </w:t>
        </w:r>
      </w:hyperlink>
      <w:hyperlink r:id="rId14" w:history="1">
        <w:r w:rsidRPr="00D46AF9">
          <w:rPr>
            <w:rStyle w:val="Hyperlink"/>
            <w:rFonts w:cstheme="minorHAnsi"/>
            <w:sz w:val="20"/>
            <w:szCs w:val="20"/>
          </w:rPr>
          <w:t>www.proinvestgroup.com</w:t>
        </w:r>
      </w:hyperlink>
    </w:p>
    <w:p w14:paraId="45FB4962" w14:textId="77777777" w:rsidR="001A07C0" w:rsidRPr="00D46AF9" w:rsidRDefault="001A07C0" w:rsidP="00F802F0"/>
    <w:p w14:paraId="021D14BE" w14:textId="6A73AA75" w:rsidR="00246D83" w:rsidRPr="00690234" w:rsidRDefault="00690234" w:rsidP="00F0405A">
      <w:pPr>
        <w:tabs>
          <w:tab w:val="left" w:pos="90"/>
          <w:tab w:val="left" w:pos="360"/>
          <w:tab w:val="left" w:pos="450"/>
        </w:tabs>
        <w:spacing w:after="0" w:line="240" w:lineRule="auto"/>
        <w:ind w:right="450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en-GB"/>
        </w:rPr>
      </w:pPr>
      <w:r w:rsidRPr="00D46AF9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en-GB"/>
        </w:rPr>
        <w:t>Sources</w:t>
      </w:r>
    </w:p>
    <w:sectPr w:rsidR="00246D83" w:rsidRPr="00690234" w:rsidSect="001623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E34B" w14:textId="77777777" w:rsidR="001623EF" w:rsidRPr="00D46AF9" w:rsidRDefault="001623EF" w:rsidP="00A7328C">
      <w:pPr>
        <w:spacing w:after="0" w:line="240" w:lineRule="auto"/>
      </w:pPr>
      <w:r w:rsidRPr="00D46AF9">
        <w:separator/>
      </w:r>
    </w:p>
  </w:endnote>
  <w:endnote w:type="continuationSeparator" w:id="0">
    <w:p w14:paraId="1D9D0DBC" w14:textId="77777777" w:rsidR="001623EF" w:rsidRPr="00D46AF9" w:rsidRDefault="001623EF" w:rsidP="00A7328C">
      <w:pPr>
        <w:spacing w:after="0" w:line="240" w:lineRule="auto"/>
      </w:pPr>
      <w:r w:rsidRPr="00D46AF9">
        <w:continuationSeparator/>
      </w:r>
    </w:p>
  </w:endnote>
  <w:endnote w:type="continuationNotice" w:id="1">
    <w:p w14:paraId="714D66DB" w14:textId="77777777" w:rsidR="001623EF" w:rsidRPr="00D46AF9" w:rsidRDefault="001623EF">
      <w:pPr>
        <w:spacing w:after="0" w:line="240" w:lineRule="auto"/>
      </w:pPr>
    </w:p>
  </w:endnote>
  <w:endnote w:id="2">
    <w:p w14:paraId="5226DCE7" w14:textId="38CA2E7D" w:rsidR="00DE6755" w:rsidRPr="00D46AF9" w:rsidRDefault="00DE6755">
      <w:pPr>
        <w:pStyle w:val="EndnoteText"/>
      </w:pPr>
      <w:r w:rsidRPr="00D46AF9">
        <w:rPr>
          <w:rStyle w:val="EndnoteReference"/>
          <w:i/>
          <w:iCs/>
          <w:sz w:val="18"/>
          <w:szCs w:val="18"/>
        </w:rPr>
        <w:endnoteRef/>
      </w:r>
      <w:r w:rsidRPr="00D46AF9">
        <w:rPr>
          <w:i/>
          <w:iCs/>
          <w:sz w:val="18"/>
          <w:szCs w:val="18"/>
        </w:rPr>
        <w:t xml:space="preserve"> SQM Research, Vacancy Rates 08.2023; Mirvac, Living Sectors, 10.2023</w:t>
      </w:r>
      <w:r w:rsidRPr="00D46AF9">
        <w:rPr>
          <w:i/>
          <w:iCs/>
        </w:rPr>
        <w:t>.</w:t>
      </w:r>
    </w:p>
  </w:endnote>
  <w:endnote w:id="3">
    <w:p w14:paraId="0D4EE5DC" w14:textId="77777777" w:rsidR="00B21FAF" w:rsidRPr="00D46AF9" w:rsidRDefault="00B21FAF" w:rsidP="00B21FAF">
      <w:pPr>
        <w:pStyle w:val="EndnoteText"/>
        <w:rPr>
          <w:i/>
          <w:iCs/>
          <w:sz w:val="18"/>
          <w:szCs w:val="18"/>
        </w:rPr>
      </w:pPr>
      <w:r w:rsidRPr="00D46AF9">
        <w:rPr>
          <w:rStyle w:val="EndnoteReference"/>
          <w:i/>
          <w:iCs/>
          <w:sz w:val="18"/>
          <w:szCs w:val="18"/>
        </w:rPr>
        <w:endnoteRef/>
      </w:r>
      <w:r w:rsidRPr="00D46AF9">
        <w:rPr>
          <w:i/>
          <w:iCs/>
          <w:sz w:val="18"/>
          <w:szCs w:val="18"/>
        </w:rPr>
        <w:t xml:space="preserve"> Knight Frank, Breaking the Shackles: The Rise of BTR, 09.2023</w:t>
      </w:r>
    </w:p>
  </w:endnote>
  <w:endnote w:id="4">
    <w:p w14:paraId="26D4DECC" w14:textId="77777777" w:rsidR="00B21FAF" w:rsidRPr="00D46AF9" w:rsidRDefault="00B21FAF" w:rsidP="00B21FAF">
      <w:pPr>
        <w:pStyle w:val="EndnoteText"/>
        <w:rPr>
          <w:i/>
          <w:iCs/>
          <w:sz w:val="18"/>
          <w:szCs w:val="18"/>
        </w:rPr>
      </w:pPr>
      <w:r w:rsidRPr="00D46AF9">
        <w:rPr>
          <w:rStyle w:val="EndnoteReference"/>
          <w:i/>
          <w:iCs/>
          <w:sz w:val="18"/>
          <w:szCs w:val="18"/>
        </w:rPr>
        <w:endnoteRef/>
      </w:r>
      <w:r w:rsidRPr="00D46AF9">
        <w:rPr>
          <w:i/>
          <w:iCs/>
          <w:sz w:val="18"/>
          <w:szCs w:val="18"/>
        </w:rPr>
        <w:t xml:space="preserve"> Knight Frank, Breaking the Shackles: The Rise of BTR, 09.2023</w:t>
      </w:r>
    </w:p>
  </w:endnote>
  <w:endnote w:id="5">
    <w:p w14:paraId="4F740296" w14:textId="77777777" w:rsidR="00B21FAF" w:rsidRPr="00D46AF9" w:rsidRDefault="00B21FAF" w:rsidP="00B21FAF">
      <w:pPr>
        <w:pStyle w:val="EndnoteText"/>
        <w:rPr>
          <w:i/>
          <w:iCs/>
          <w:sz w:val="18"/>
          <w:szCs w:val="18"/>
        </w:rPr>
      </w:pPr>
      <w:r w:rsidRPr="00D46AF9">
        <w:rPr>
          <w:rStyle w:val="EndnoteReference"/>
          <w:i/>
          <w:iCs/>
          <w:sz w:val="18"/>
          <w:szCs w:val="18"/>
        </w:rPr>
        <w:endnoteRef/>
      </w:r>
      <w:r w:rsidRPr="00D46AF9">
        <w:rPr>
          <w:i/>
          <w:iCs/>
          <w:sz w:val="18"/>
          <w:szCs w:val="18"/>
        </w:rPr>
        <w:t xml:space="preserve"> ABS, Centre for Population, Population Estimate 2022, 12.2022; Budget 2023-24 Projection, 05.2023; Charter Keck Cramer: Brisbane, Melbourne, Sydney, 06.2023.</w:t>
      </w:r>
    </w:p>
  </w:endnote>
  <w:endnote w:id="6">
    <w:p w14:paraId="30942376" w14:textId="77777777" w:rsidR="00B21FAF" w:rsidRPr="00690234" w:rsidRDefault="00B21FAF" w:rsidP="00B21FAF">
      <w:pPr>
        <w:pStyle w:val="EndnoteText"/>
        <w:rPr>
          <w:i/>
          <w:iCs/>
          <w:sz w:val="18"/>
          <w:szCs w:val="18"/>
          <w:lang w:val="en-US"/>
        </w:rPr>
      </w:pPr>
      <w:r w:rsidRPr="00D46AF9">
        <w:rPr>
          <w:rStyle w:val="EndnoteReference"/>
          <w:i/>
          <w:iCs/>
          <w:sz w:val="18"/>
          <w:szCs w:val="18"/>
        </w:rPr>
        <w:endnoteRef/>
      </w:r>
      <w:r w:rsidRPr="00D46AF9">
        <w:rPr>
          <w:i/>
          <w:iCs/>
          <w:sz w:val="18"/>
          <w:szCs w:val="18"/>
        </w:rPr>
        <w:t xml:space="preserve"> Australian Bureau of Statistics, Building Approvals, 08.2023.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EACA" w14:textId="77777777" w:rsidR="00B27E8A" w:rsidRPr="00D46AF9" w:rsidRDefault="00B27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370385"/>
      <w:docPartObj>
        <w:docPartGallery w:val="Page Numbers (Bottom of Page)"/>
        <w:docPartUnique/>
      </w:docPartObj>
    </w:sdtPr>
    <w:sdtContent>
      <w:p w14:paraId="12DF838F" w14:textId="1213C3D9" w:rsidR="00A902AF" w:rsidRPr="00D46AF9" w:rsidRDefault="00A902AF">
        <w:pPr>
          <w:pStyle w:val="Footer"/>
          <w:jc w:val="right"/>
        </w:pPr>
        <w:r w:rsidRPr="00D46AF9">
          <w:fldChar w:fldCharType="begin"/>
        </w:r>
        <w:r w:rsidRPr="00D46AF9">
          <w:instrText xml:space="preserve"> PAGE   \* MERGEFORMAT </w:instrText>
        </w:r>
        <w:r w:rsidRPr="00D46AF9">
          <w:fldChar w:fldCharType="separate"/>
        </w:r>
        <w:r w:rsidRPr="00D46AF9">
          <w:t>2</w:t>
        </w:r>
        <w:r w:rsidRPr="00D46AF9">
          <w:fldChar w:fldCharType="end"/>
        </w:r>
      </w:p>
    </w:sdtContent>
  </w:sdt>
  <w:p w14:paraId="099C6C6D" w14:textId="77777777" w:rsidR="006E3B3A" w:rsidRPr="00D46AF9" w:rsidRDefault="006E3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82EA" w14:textId="77777777" w:rsidR="00B27E8A" w:rsidRPr="00D46AF9" w:rsidRDefault="00B2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B17B" w14:textId="77777777" w:rsidR="001623EF" w:rsidRPr="00D46AF9" w:rsidRDefault="001623EF" w:rsidP="00A7328C">
      <w:pPr>
        <w:spacing w:after="0" w:line="240" w:lineRule="auto"/>
      </w:pPr>
      <w:r w:rsidRPr="00D46AF9">
        <w:separator/>
      </w:r>
    </w:p>
  </w:footnote>
  <w:footnote w:type="continuationSeparator" w:id="0">
    <w:p w14:paraId="4324B258" w14:textId="77777777" w:rsidR="001623EF" w:rsidRPr="00D46AF9" w:rsidRDefault="001623EF" w:rsidP="00A7328C">
      <w:pPr>
        <w:spacing w:after="0" w:line="240" w:lineRule="auto"/>
      </w:pPr>
      <w:r w:rsidRPr="00D46AF9">
        <w:continuationSeparator/>
      </w:r>
    </w:p>
  </w:footnote>
  <w:footnote w:type="continuationNotice" w:id="1">
    <w:p w14:paraId="6EE315DA" w14:textId="77777777" w:rsidR="001623EF" w:rsidRPr="00D46AF9" w:rsidRDefault="00162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0207" w14:textId="77777777" w:rsidR="00B27E8A" w:rsidRPr="00D46AF9" w:rsidRDefault="00B27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60D" w14:textId="354D2D40" w:rsidR="00A7328C" w:rsidRPr="00D46AF9" w:rsidRDefault="00A7328C">
    <w:pPr>
      <w:pStyle w:val="Header"/>
    </w:pPr>
    <w:r w:rsidRPr="00D46AF9">
      <w:rPr>
        <w:b/>
        <w:i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5A36CEBF" wp14:editId="4607F2DE">
          <wp:simplePos x="0" y="0"/>
          <wp:positionH relativeFrom="column">
            <wp:posOffset>3733800</wp:posOffset>
          </wp:positionH>
          <wp:positionV relativeFrom="paragraph">
            <wp:posOffset>-152400</wp:posOffset>
          </wp:positionV>
          <wp:extent cx="2286000" cy="609600"/>
          <wp:effectExtent l="0" t="0" r="0" b="0"/>
          <wp:wrapSquare wrapText="bothSides"/>
          <wp:docPr id="71" name="Picture 71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 descr="A blue text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5C6C" w14:textId="77777777" w:rsidR="00B27E8A" w:rsidRPr="00D46AF9" w:rsidRDefault="00B27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B6D"/>
    <w:multiLevelType w:val="hybridMultilevel"/>
    <w:tmpl w:val="D884D76A"/>
    <w:lvl w:ilvl="0" w:tplc="81F03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40E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06D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030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44B9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67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F434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8A39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00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0DDD"/>
    <w:multiLevelType w:val="hybridMultilevel"/>
    <w:tmpl w:val="129C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6886"/>
    <w:multiLevelType w:val="hybridMultilevel"/>
    <w:tmpl w:val="58E8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67E"/>
    <w:multiLevelType w:val="hybridMultilevel"/>
    <w:tmpl w:val="386CD044"/>
    <w:lvl w:ilvl="0" w:tplc="6A0012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A688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C23F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6A0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9E0B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2412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C9A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8CC1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69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420D0"/>
    <w:multiLevelType w:val="hybridMultilevel"/>
    <w:tmpl w:val="E8083AC6"/>
    <w:lvl w:ilvl="0" w:tplc="23E214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A73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20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69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CFD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3C2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6F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527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C42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76CEE"/>
    <w:multiLevelType w:val="hybridMultilevel"/>
    <w:tmpl w:val="0A469A64"/>
    <w:lvl w:ilvl="0" w:tplc="237A7A02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3F30A0"/>
    <w:multiLevelType w:val="hybridMultilevel"/>
    <w:tmpl w:val="3C94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331EF"/>
    <w:multiLevelType w:val="hybridMultilevel"/>
    <w:tmpl w:val="4B847502"/>
    <w:lvl w:ilvl="0" w:tplc="5B82037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30301">
    <w:abstractNumId w:val="7"/>
  </w:num>
  <w:num w:numId="2" w16cid:durableId="540676182">
    <w:abstractNumId w:val="5"/>
  </w:num>
  <w:num w:numId="3" w16cid:durableId="1994095360">
    <w:abstractNumId w:val="2"/>
  </w:num>
  <w:num w:numId="4" w16cid:durableId="2015372735">
    <w:abstractNumId w:val="0"/>
  </w:num>
  <w:num w:numId="5" w16cid:durableId="200364468">
    <w:abstractNumId w:val="6"/>
  </w:num>
  <w:num w:numId="6" w16cid:durableId="1555314780">
    <w:abstractNumId w:val="4"/>
  </w:num>
  <w:num w:numId="7" w16cid:durableId="1735546856">
    <w:abstractNumId w:val="3"/>
  </w:num>
  <w:num w:numId="8" w16cid:durableId="205580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2A"/>
    <w:rsid w:val="0000683D"/>
    <w:rsid w:val="000074F3"/>
    <w:rsid w:val="000112AF"/>
    <w:rsid w:val="00011732"/>
    <w:rsid w:val="00011C00"/>
    <w:rsid w:val="00013249"/>
    <w:rsid w:val="00014234"/>
    <w:rsid w:val="0001546B"/>
    <w:rsid w:val="0001578B"/>
    <w:rsid w:val="00015D8A"/>
    <w:rsid w:val="00016342"/>
    <w:rsid w:val="00016AEB"/>
    <w:rsid w:val="000172F3"/>
    <w:rsid w:val="000246D9"/>
    <w:rsid w:val="000262DB"/>
    <w:rsid w:val="00026B5D"/>
    <w:rsid w:val="0002744F"/>
    <w:rsid w:val="000300DD"/>
    <w:rsid w:val="00034CB8"/>
    <w:rsid w:val="00041F84"/>
    <w:rsid w:val="00043AA9"/>
    <w:rsid w:val="0004794D"/>
    <w:rsid w:val="0005083F"/>
    <w:rsid w:val="0005687B"/>
    <w:rsid w:val="000579F8"/>
    <w:rsid w:val="00063969"/>
    <w:rsid w:val="000652F8"/>
    <w:rsid w:val="00071CBC"/>
    <w:rsid w:val="00076AD5"/>
    <w:rsid w:val="0007762E"/>
    <w:rsid w:val="00085537"/>
    <w:rsid w:val="0008750A"/>
    <w:rsid w:val="00087FA7"/>
    <w:rsid w:val="000A1572"/>
    <w:rsid w:val="000A2D47"/>
    <w:rsid w:val="000A49B5"/>
    <w:rsid w:val="000B0BDA"/>
    <w:rsid w:val="000B3D8C"/>
    <w:rsid w:val="000B5F54"/>
    <w:rsid w:val="000D1086"/>
    <w:rsid w:val="000D1B6A"/>
    <w:rsid w:val="000D28D3"/>
    <w:rsid w:val="000D3AF3"/>
    <w:rsid w:val="000D6418"/>
    <w:rsid w:val="000E4064"/>
    <w:rsid w:val="000E58A2"/>
    <w:rsid w:val="000E5D16"/>
    <w:rsid w:val="000E5DD3"/>
    <w:rsid w:val="000E78BD"/>
    <w:rsid w:val="000F00E5"/>
    <w:rsid w:val="000F05D0"/>
    <w:rsid w:val="000F18B4"/>
    <w:rsid w:val="000F2125"/>
    <w:rsid w:val="001025ED"/>
    <w:rsid w:val="00102B52"/>
    <w:rsid w:val="001033B9"/>
    <w:rsid w:val="0011415E"/>
    <w:rsid w:val="00135EC1"/>
    <w:rsid w:val="001360BC"/>
    <w:rsid w:val="001416D5"/>
    <w:rsid w:val="001433D3"/>
    <w:rsid w:val="0014764E"/>
    <w:rsid w:val="00151395"/>
    <w:rsid w:val="0015172A"/>
    <w:rsid w:val="0015310F"/>
    <w:rsid w:val="00154E4B"/>
    <w:rsid w:val="0015585C"/>
    <w:rsid w:val="00160400"/>
    <w:rsid w:val="0016207A"/>
    <w:rsid w:val="001623EF"/>
    <w:rsid w:val="00162BD3"/>
    <w:rsid w:val="00173FF2"/>
    <w:rsid w:val="00175085"/>
    <w:rsid w:val="00176DEA"/>
    <w:rsid w:val="0018256C"/>
    <w:rsid w:val="00182D26"/>
    <w:rsid w:val="001919BB"/>
    <w:rsid w:val="001948B7"/>
    <w:rsid w:val="00195030"/>
    <w:rsid w:val="001968D6"/>
    <w:rsid w:val="001A07C0"/>
    <w:rsid w:val="001A26D9"/>
    <w:rsid w:val="001A7A22"/>
    <w:rsid w:val="001B0C15"/>
    <w:rsid w:val="001B3E80"/>
    <w:rsid w:val="001C013D"/>
    <w:rsid w:val="001C1BC7"/>
    <w:rsid w:val="001C26EF"/>
    <w:rsid w:val="001C3B3F"/>
    <w:rsid w:val="001C3EA6"/>
    <w:rsid w:val="001C55E5"/>
    <w:rsid w:val="001C6A51"/>
    <w:rsid w:val="001D08C3"/>
    <w:rsid w:val="001D13BC"/>
    <w:rsid w:val="001D36DB"/>
    <w:rsid w:val="001D785A"/>
    <w:rsid w:val="001E292E"/>
    <w:rsid w:val="001E35A7"/>
    <w:rsid w:val="001E3E3A"/>
    <w:rsid w:val="001E475B"/>
    <w:rsid w:val="001F1459"/>
    <w:rsid w:val="001F18CB"/>
    <w:rsid w:val="0020163C"/>
    <w:rsid w:val="00204C94"/>
    <w:rsid w:val="00205BF7"/>
    <w:rsid w:val="002102CB"/>
    <w:rsid w:val="00210D3D"/>
    <w:rsid w:val="00211D81"/>
    <w:rsid w:val="002267C5"/>
    <w:rsid w:val="002270F2"/>
    <w:rsid w:val="0023303B"/>
    <w:rsid w:val="00246D83"/>
    <w:rsid w:val="00251837"/>
    <w:rsid w:val="00254B51"/>
    <w:rsid w:val="002620EA"/>
    <w:rsid w:val="002662E7"/>
    <w:rsid w:val="0027337C"/>
    <w:rsid w:val="00281153"/>
    <w:rsid w:val="00286061"/>
    <w:rsid w:val="0029465C"/>
    <w:rsid w:val="00297B3B"/>
    <w:rsid w:val="002A1841"/>
    <w:rsid w:val="002A3594"/>
    <w:rsid w:val="002B1122"/>
    <w:rsid w:val="002B2692"/>
    <w:rsid w:val="002B3E3C"/>
    <w:rsid w:val="002B5C69"/>
    <w:rsid w:val="002C219D"/>
    <w:rsid w:val="002C480F"/>
    <w:rsid w:val="002C500E"/>
    <w:rsid w:val="002C545C"/>
    <w:rsid w:val="002C711B"/>
    <w:rsid w:val="002D149F"/>
    <w:rsid w:val="002D2064"/>
    <w:rsid w:val="002D2107"/>
    <w:rsid w:val="002D4934"/>
    <w:rsid w:val="002D4C28"/>
    <w:rsid w:val="002E45C6"/>
    <w:rsid w:val="002E655E"/>
    <w:rsid w:val="002F2ADA"/>
    <w:rsid w:val="002F5D3D"/>
    <w:rsid w:val="00302932"/>
    <w:rsid w:val="00307C80"/>
    <w:rsid w:val="003134D6"/>
    <w:rsid w:val="003135BF"/>
    <w:rsid w:val="003152F5"/>
    <w:rsid w:val="00322046"/>
    <w:rsid w:val="0033198F"/>
    <w:rsid w:val="00332C7B"/>
    <w:rsid w:val="00340D1C"/>
    <w:rsid w:val="00341E3F"/>
    <w:rsid w:val="00343A9E"/>
    <w:rsid w:val="0034433B"/>
    <w:rsid w:val="003449A7"/>
    <w:rsid w:val="00345628"/>
    <w:rsid w:val="00355F7D"/>
    <w:rsid w:val="00356E46"/>
    <w:rsid w:val="003570AF"/>
    <w:rsid w:val="003628E0"/>
    <w:rsid w:val="00362DFC"/>
    <w:rsid w:val="0036324C"/>
    <w:rsid w:val="00382811"/>
    <w:rsid w:val="00385D5C"/>
    <w:rsid w:val="00387725"/>
    <w:rsid w:val="003A2808"/>
    <w:rsid w:val="003A3DED"/>
    <w:rsid w:val="003A4800"/>
    <w:rsid w:val="003A686E"/>
    <w:rsid w:val="003B38BC"/>
    <w:rsid w:val="003B63D2"/>
    <w:rsid w:val="003B7E32"/>
    <w:rsid w:val="003C1A1C"/>
    <w:rsid w:val="003C38A2"/>
    <w:rsid w:val="003C6D62"/>
    <w:rsid w:val="003D1082"/>
    <w:rsid w:val="003D4740"/>
    <w:rsid w:val="003D58B8"/>
    <w:rsid w:val="003E0D51"/>
    <w:rsid w:val="003F0B58"/>
    <w:rsid w:val="003F2782"/>
    <w:rsid w:val="003F3383"/>
    <w:rsid w:val="003F6EFD"/>
    <w:rsid w:val="003F6F74"/>
    <w:rsid w:val="003F74CB"/>
    <w:rsid w:val="00421C62"/>
    <w:rsid w:val="004239EC"/>
    <w:rsid w:val="00423EC4"/>
    <w:rsid w:val="00427AD4"/>
    <w:rsid w:val="00431B5C"/>
    <w:rsid w:val="00433E35"/>
    <w:rsid w:val="00434A6F"/>
    <w:rsid w:val="004468FA"/>
    <w:rsid w:val="00447056"/>
    <w:rsid w:val="00457CC7"/>
    <w:rsid w:val="00461412"/>
    <w:rsid w:val="0046143F"/>
    <w:rsid w:val="00461754"/>
    <w:rsid w:val="00463C06"/>
    <w:rsid w:val="004645F0"/>
    <w:rsid w:val="00474887"/>
    <w:rsid w:val="004751F5"/>
    <w:rsid w:val="004767A2"/>
    <w:rsid w:val="00477E44"/>
    <w:rsid w:val="004822B7"/>
    <w:rsid w:val="00495877"/>
    <w:rsid w:val="00495D8B"/>
    <w:rsid w:val="004A2D13"/>
    <w:rsid w:val="004A45F1"/>
    <w:rsid w:val="004B2A10"/>
    <w:rsid w:val="004B3AA1"/>
    <w:rsid w:val="004B3ACA"/>
    <w:rsid w:val="004C1757"/>
    <w:rsid w:val="004C5244"/>
    <w:rsid w:val="004C6663"/>
    <w:rsid w:val="004D5611"/>
    <w:rsid w:val="004E2A37"/>
    <w:rsid w:val="004E69FD"/>
    <w:rsid w:val="004F4690"/>
    <w:rsid w:val="00501E20"/>
    <w:rsid w:val="0050549B"/>
    <w:rsid w:val="0050666E"/>
    <w:rsid w:val="00511396"/>
    <w:rsid w:val="0051542D"/>
    <w:rsid w:val="0052040D"/>
    <w:rsid w:val="0052260C"/>
    <w:rsid w:val="00522D39"/>
    <w:rsid w:val="00523145"/>
    <w:rsid w:val="005234AF"/>
    <w:rsid w:val="00526832"/>
    <w:rsid w:val="00527302"/>
    <w:rsid w:val="00530244"/>
    <w:rsid w:val="005322FC"/>
    <w:rsid w:val="005349FB"/>
    <w:rsid w:val="0054141E"/>
    <w:rsid w:val="00541628"/>
    <w:rsid w:val="00541C6B"/>
    <w:rsid w:val="005420A3"/>
    <w:rsid w:val="00547492"/>
    <w:rsid w:val="00550085"/>
    <w:rsid w:val="00553B34"/>
    <w:rsid w:val="00555DCB"/>
    <w:rsid w:val="00556D7C"/>
    <w:rsid w:val="00560309"/>
    <w:rsid w:val="0057391F"/>
    <w:rsid w:val="005747B1"/>
    <w:rsid w:val="00577815"/>
    <w:rsid w:val="0058008D"/>
    <w:rsid w:val="00587CCC"/>
    <w:rsid w:val="005919B3"/>
    <w:rsid w:val="00594D92"/>
    <w:rsid w:val="005973AD"/>
    <w:rsid w:val="00597580"/>
    <w:rsid w:val="005A01FF"/>
    <w:rsid w:val="005A08F9"/>
    <w:rsid w:val="005A70CF"/>
    <w:rsid w:val="005B123D"/>
    <w:rsid w:val="005B2068"/>
    <w:rsid w:val="005B297E"/>
    <w:rsid w:val="005B3A6C"/>
    <w:rsid w:val="005B4F68"/>
    <w:rsid w:val="005B5227"/>
    <w:rsid w:val="005B657A"/>
    <w:rsid w:val="005B7F2E"/>
    <w:rsid w:val="005C7E7F"/>
    <w:rsid w:val="005D24B0"/>
    <w:rsid w:val="005D5CCE"/>
    <w:rsid w:val="005D72B2"/>
    <w:rsid w:val="005E2FAE"/>
    <w:rsid w:val="005E35A7"/>
    <w:rsid w:val="005E5F43"/>
    <w:rsid w:val="005F3AE9"/>
    <w:rsid w:val="005F6262"/>
    <w:rsid w:val="00600B4E"/>
    <w:rsid w:val="00603D69"/>
    <w:rsid w:val="00613825"/>
    <w:rsid w:val="006208C6"/>
    <w:rsid w:val="00622FB1"/>
    <w:rsid w:val="006254A8"/>
    <w:rsid w:val="00626F76"/>
    <w:rsid w:val="00632240"/>
    <w:rsid w:val="00636E73"/>
    <w:rsid w:val="00642BAB"/>
    <w:rsid w:val="0064323B"/>
    <w:rsid w:val="0064505E"/>
    <w:rsid w:val="00646986"/>
    <w:rsid w:val="00646D48"/>
    <w:rsid w:val="00654600"/>
    <w:rsid w:val="00654A0A"/>
    <w:rsid w:val="00654EE1"/>
    <w:rsid w:val="006644FC"/>
    <w:rsid w:val="00666D28"/>
    <w:rsid w:val="00671341"/>
    <w:rsid w:val="0067453A"/>
    <w:rsid w:val="00674959"/>
    <w:rsid w:val="00677CB9"/>
    <w:rsid w:val="006835B0"/>
    <w:rsid w:val="00684D1A"/>
    <w:rsid w:val="00690234"/>
    <w:rsid w:val="006908ED"/>
    <w:rsid w:val="006933C5"/>
    <w:rsid w:val="00693FB9"/>
    <w:rsid w:val="00694623"/>
    <w:rsid w:val="006952ED"/>
    <w:rsid w:val="006A6211"/>
    <w:rsid w:val="006B0D47"/>
    <w:rsid w:val="006B7382"/>
    <w:rsid w:val="006C0DA2"/>
    <w:rsid w:val="006C11CD"/>
    <w:rsid w:val="006C34D3"/>
    <w:rsid w:val="006C6355"/>
    <w:rsid w:val="006C64C4"/>
    <w:rsid w:val="006D1E4E"/>
    <w:rsid w:val="006D318B"/>
    <w:rsid w:val="006D50B0"/>
    <w:rsid w:val="006E085A"/>
    <w:rsid w:val="006E1BE0"/>
    <w:rsid w:val="006E3B3A"/>
    <w:rsid w:val="006E5B83"/>
    <w:rsid w:val="006F39EC"/>
    <w:rsid w:val="00701C70"/>
    <w:rsid w:val="00701E6E"/>
    <w:rsid w:val="007027D6"/>
    <w:rsid w:val="0071289A"/>
    <w:rsid w:val="00712AC2"/>
    <w:rsid w:val="007145B7"/>
    <w:rsid w:val="0072027D"/>
    <w:rsid w:val="00727940"/>
    <w:rsid w:val="00727D46"/>
    <w:rsid w:val="00733DBA"/>
    <w:rsid w:val="00734095"/>
    <w:rsid w:val="00736798"/>
    <w:rsid w:val="0074433F"/>
    <w:rsid w:val="00750FF4"/>
    <w:rsid w:val="007575B2"/>
    <w:rsid w:val="00763D07"/>
    <w:rsid w:val="00767CBB"/>
    <w:rsid w:val="007709FB"/>
    <w:rsid w:val="00771BF4"/>
    <w:rsid w:val="0077388C"/>
    <w:rsid w:val="0077456B"/>
    <w:rsid w:val="007748FD"/>
    <w:rsid w:val="00783F71"/>
    <w:rsid w:val="0078796F"/>
    <w:rsid w:val="00787A26"/>
    <w:rsid w:val="007925F1"/>
    <w:rsid w:val="00793662"/>
    <w:rsid w:val="00794133"/>
    <w:rsid w:val="007978B0"/>
    <w:rsid w:val="007A2B34"/>
    <w:rsid w:val="007A57D7"/>
    <w:rsid w:val="007B37EC"/>
    <w:rsid w:val="007C2E5C"/>
    <w:rsid w:val="007C647D"/>
    <w:rsid w:val="007C76ED"/>
    <w:rsid w:val="007C7777"/>
    <w:rsid w:val="007D3590"/>
    <w:rsid w:val="007D5362"/>
    <w:rsid w:val="007E03F7"/>
    <w:rsid w:val="007E456F"/>
    <w:rsid w:val="007E50DD"/>
    <w:rsid w:val="007E54AA"/>
    <w:rsid w:val="007E7525"/>
    <w:rsid w:val="007F5525"/>
    <w:rsid w:val="00802191"/>
    <w:rsid w:val="00802D42"/>
    <w:rsid w:val="008059DF"/>
    <w:rsid w:val="00805E81"/>
    <w:rsid w:val="00811B56"/>
    <w:rsid w:val="00812A77"/>
    <w:rsid w:val="0081697A"/>
    <w:rsid w:val="0081788A"/>
    <w:rsid w:val="00821953"/>
    <w:rsid w:val="008221A4"/>
    <w:rsid w:val="00823EC2"/>
    <w:rsid w:val="00824663"/>
    <w:rsid w:val="00825830"/>
    <w:rsid w:val="00827F5E"/>
    <w:rsid w:val="0083454F"/>
    <w:rsid w:val="0083628F"/>
    <w:rsid w:val="00836E2E"/>
    <w:rsid w:val="00843B2C"/>
    <w:rsid w:val="00845D16"/>
    <w:rsid w:val="00847927"/>
    <w:rsid w:val="0085357F"/>
    <w:rsid w:val="00860BA0"/>
    <w:rsid w:val="008619E4"/>
    <w:rsid w:val="0086393D"/>
    <w:rsid w:val="00863EED"/>
    <w:rsid w:val="0086573A"/>
    <w:rsid w:val="008735E1"/>
    <w:rsid w:val="00877352"/>
    <w:rsid w:val="00877B80"/>
    <w:rsid w:val="00880F5E"/>
    <w:rsid w:val="008826F2"/>
    <w:rsid w:val="00885197"/>
    <w:rsid w:val="00890DB3"/>
    <w:rsid w:val="00893797"/>
    <w:rsid w:val="00893DDE"/>
    <w:rsid w:val="008A7F9D"/>
    <w:rsid w:val="008B2C29"/>
    <w:rsid w:val="008B4DFC"/>
    <w:rsid w:val="008B6CE1"/>
    <w:rsid w:val="008B7798"/>
    <w:rsid w:val="008C3F75"/>
    <w:rsid w:val="008C461D"/>
    <w:rsid w:val="008C6F5E"/>
    <w:rsid w:val="008D2B2E"/>
    <w:rsid w:val="008D2E3F"/>
    <w:rsid w:val="008D7694"/>
    <w:rsid w:val="008E1026"/>
    <w:rsid w:val="008E108B"/>
    <w:rsid w:val="008E1986"/>
    <w:rsid w:val="008E21D2"/>
    <w:rsid w:val="008E5A20"/>
    <w:rsid w:val="008F4959"/>
    <w:rsid w:val="00900E72"/>
    <w:rsid w:val="00902707"/>
    <w:rsid w:val="0090286A"/>
    <w:rsid w:val="00926463"/>
    <w:rsid w:val="00927EAF"/>
    <w:rsid w:val="009303A9"/>
    <w:rsid w:val="00931A41"/>
    <w:rsid w:val="00933D78"/>
    <w:rsid w:val="00935E83"/>
    <w:rsid w:val="00936760"/>
    <w:rsid w:val="009407DC"/>
    <w:rsid w:val="00943781"/>
    <w:rsid w:val="009447B5"/>
    <w:rsid w:val="00955905"/>
    <w:rsid w:val="00956050"/>
    <w:rsid w:val="00960463"/>
    <w:rsid w:val="00961F6E"/>
    <w:rsid w:val="00966B9B"/>
    <w:rsid w:val="00971786"/>
    <w:rsid w:val="00972CD5"/>
    <w:rsid w:val="00976318"/>
    <w:rsid w:val="00982908"/>
    <w:rsid w:val="00982EDC"/>
    <w:rsid w:val="009940B8"/>
    <w:rsid w:val="009A0B7D"/>
    <w:rsid w:val="009A2C08"/>
    <w:rsid w:val="009A3C67"/>
    <w:rsid w:val="009A3D09"/>
    <w:rsid w:val="009A77E1"/>
    <w:rsid w:val="009B09E0"/>
    <w:rsid w:val="009B1D6B"/>
    <w:rsid w:val="009C0CFC"/>
    <w:rsid w:val="009C0DCB"/>
    <w:rsid w:val="009C0F47"/>
    <w:rsid w:val="009C218B"/>
    <w:rsid w:val="009C3063"/>
    <w:rsid w:val="009C311B"/>
    <w:rsid w:val="009C7E97"/>
    <w:rsid w:val="009D786D"/>
    <w:rsid w:val="009E22D0"/>
    <w:rsid w:val="009E73BA"/>
    <w:rsid w:val="009F01DC"/>
    <w:rsid w:val="009F0733"/>
    <w:rsid w:val="009F4625"/>
    <w:rsid w:val="009F4E8E"/>
    <w:rsid w:val="009F50A2"/>
    <w:rsid w:val="009F6B07"/>
    <w:rsid w:val="00A03569"/>
    <w:rsid w:val="00A06C10"/>
    <w:rsid w:val="00A14245"/>
    <w:rsid w:val="00A17726"/>
    <w:rsid w:val="00A202D5"/>
    <w:rsid w:val="00A2361F"/>
    <w:rsid w:val="00A23950"/>
    <w:rsid w:val="00A2414B"/>
    <w:rsid w:val="00A24FE7"/>
    <w:rsid w:val="00A3562A"/>
    <w:rsid w:val="00A3770C"/>
    <w:rsid w:val="00A37B70"/>
    <w:rsid w:val="00A50018"/>
    <w:rsid w:val="00A5447D"/>
    <w:rsid w:val="00A56AC9"/>
    <w:rsid w:val="00A653AF"/>
    <w:rsid w:val="00A7132D"/>
    <w:rsid w:val="00A7328C"/>
    <w:rsid w:val="00A7483F"/>
    <w:rsid w:val="00A7486A"/>
    <w:rsid w:val="00A8655E"/>
    <w:rsid w:val="00A902AF"/>
    <w:rsid w:val="00A913FC"/>
    <w:rsid w:val="00A9342C"/>
    <w:rsid w:val="00A93F4E"/>
    <w:rsid w:val="00A949AE"/>
    <w:rsid w:val="00A97B41"/>
    <w:rsid w:val="00AA1270"/>
    <w:rsid w:val="00AA1808"/>
    <w:rsid w:val="00AA631E"/>
    <w:rsid w:val="00AB23B8"/>
    <w:rsid w:val="00AB4530"/>
    <w:rsid w:val="00AB490D"/>
    <w:rsid w:val="00AB4AE7"/>
    <w:rsid w:val="00AC1677"/>
    <w:rsid w:val="00AC1BD7"/>
    <w:rsid w:val="00AC7A2D"/>
    <w:rsid w:val="00AD56FC"/>
    <w:rsid w:val="00AD5BC5"/>
    <w:rsid w:val="00AD6B2F"/>
    <w:rsid w:val="00AE2DC2"/>
    <w:rsid w:val="00AE73E2"/>
    <w:rsid w:val="00AF7E2B"/>
    <w:rsid w:val="00B012C2"/>
    <w:rsid w:val="00B03A29"/>
    <w:rsid w:val="00B10F08"/>
    <w:rsid w:val="00B10FD0"/>
    <w:rsid w:val="00B11F1E"/>
    <w:rsid w:val="00B13CE7"/>
    <w:rsid w:val="00B17D94"/>
    <w:rsid w:val="00B21FAF"/>
    <w:rsid w:val="00B2697B"/>
    <w:rsid w:val="00B27E8A"/>
    <w:rsid w:val="00B40468"/>
    <w:rsid w:val="00B40E08"/>
    <w:rsid w:val="00B47454"/>
    <w:rsid w:val="00B511E1"/>
    <w:rsid w:val="00B51250"/>
    <w:rsid w:val="00B51809"/>
    <w:rsid w:val="00B52029"/>
    <w:rsid w:val="00B55EE2"/>
    <w:rsid w:val="00B6616F"/>
    <w:rsid w:val="00B7381F"/>
    <w:rsid w:val="00B742EF"/>
    <w:rsid w:val="00B76615"/>
    <w:rsid w:val="00B76D39"/>
    <w:rsid w:val="00B81B43"/>
    <w:rsid w:val="00B82963"/>
    <w:rsid w:val="00B9118A"/>
    <w:rsid w:val="00B9196F"/>
    <w:rsid w:val="00B919FF"/>
    <w:rsid w:val="00B92C29"/>
    <w:rsid w:val="00B9403B"/>
    <w:rsid w:val="00BA188C"/>
    <w:rsid w:val="00BA3235"/>
    <w:rsid w:val="00BB2129"/>
    <w:rsid w:val="00BB43BE"/>
    <w:rsid w:val="00BB4F08"/>
    <w:rsid w:val="00BB6BA8"/>
    <w:rsid w:val="00BC1B32"/>
    <w:rsid w:val="00BC49A6"/>
    <w:rsid w:val="00BC4C90"/>
    <w:rsid w:val="00BC6508"/>
    <w:rsid w:val="00BC6ACD"/>
    <w:rsid w:val="00BD2FB5"/>
    <w:rsid w:val="00BD4AC4"/>
    <w:rsid w:val="00BD69C1"/>
    <w:rsid w:val="00BE120C"/>
    <w:rsid w:val="00BE1891"/>
    <w:rsid w:val="00BE2B94"/>
    <w:rsid w:val="00BE608F"/>
    <w:rsid w:val="00BE65FB"/>
    <w:rsid w:val="00BE6A10"/>
    <w:rsid w:val="00BF4C44"/>
    <w:rsid w:val="00BF50B5"/>
    <w:rsid w:val="00BF5551"/>
    <w:rsid w:val="00BF7DB3"/>
    <w:rsid w:val="00C000E2"/>
    <w:rsid w:val="00C050A6"/>
    <w:rsid w:val="00C07C4F"/>
    <w:rsid w:val="00C1213B"/>
    <w:rsid w:val="00C211DC"/>
    <w:rsid w:val="00C26755"/>
    <w:rsid w:val="00C321E2"/>
    <w:rsid w:val="00C324D2"/>
    <w:rsid w:val="00C456B4"/>
    <w:rsid w:val="00C47145"/>
    <w:rsid w:val="00C5237C"/>
    <w:rsid w:val="00C52F03"/>
    <w:rsid w:val="00C5767C"/>
    <w:rsid w:val="00C6505E"/>
    <w:rsid w:val="00C665B4"/>
    <w:rsid w:val="00C6712D"/>
    <w:rsid w:val="00C67548"/>
    <w:rsid w:val="00C74196"/>
    <w:rsid w:val="00C779FB"/>
    <w:rsid w:val="00C8268F"/>
    <w:rsid w:val="00C87D7E"/>
    <w:rsid w:val="00C90D43"/>
    <w:rsid w:val="00CA02A6"/>
    <w:rsid w:val="00CB5E1C"/>
    <w:rsid w:val="00CC1686"/>
    <w:rsid w:val="00CC5999"/>
    <w:rsid w:val="00CD076E"/>
    <w:rsid w:val="00CD213A"/>
    <w:rsid w:val="00CE04AC"/>
    <w:rsid w:val="00CE138C"/>
    <w:rsid w:val="00CE207A"/>
    <w:rsid w:val="00CE2E9D"/>
    <w:rsid w:val="00CF189C"/>
    <w:rsid w:val="00CF59E9"/>
    <w:rsid w:val="00D0535A"/>
    <w:rsid w:val="00D10BFE"/>
    <w:rsid w:val="00D21BB4"/>
    <w:rsid w:val="00D26E6F"/>
    <w:rsid w:val="00D406D7"/>
    <w:rsid w:val="00D40DA9"/>
    <w:rsid w:val="00D46613"/>
    <w:rsid w:val="00D46AF9"/>
    <w:rsid w:val="00D46DBD"/>
    <w:rsid w:val="00D62836"/>
    <w:rsid w:val="00D65A5F"/>
    <w:rsid w:val="00D66791"/>
    <w:rsid w:val="00D736D7"/>
    <w:rsid w:val="00D73FBA"/>
    <w:rsid w:val="00D75F2B"/>
    <w:rsid w:val="00D80015"/>
    <w:rsid w:val="00D81EF2"/>
    <w:rsid w:val="00D821E1"/>
    <w:rsid w:val="00D845F9"/>
    <w:rsid w:val="00D84FD4"/>
    <w:rsid w:val="00D91D02"/>
    <w:rsid w:val="00DA0671"/>
    <w:rsid w:val="00DA2A17"/>
    <w:rsid w:val="00DB4323"/>
    <w:rsid w:val="00DB441C"/>
    <w:rsid w:val="00DB59EE"/>
    <w:rsid w:val="00DB6354"/>
    <w:rsid w:val="00DC0479"/>
    <w:rsid w:val="00DC4B2D"/>
    <w:rsid w:val="00DC4BDF"/>
    <w:rsid w:val="00DD1ED6"/>
    <w:rsid w:val="00DD5349"/>
    <w:rsid w:val="00DD53C1"/>
    <w:rsid w:val="00DD5E69"/>
    <w:rsid w:val="00DE13AA"/>
    <w:rsid w:val="00DE61E5"/>
    <w:rsid w:val="00DE6755"/>
    <w:rsid w:val="00DF6986"/>
    <w:rsid w:val="00E10849"/>
    <w:rsid w:val="00E134F9"/>
    <w:rsid w:val="00E1413C"/>
    <w:rsid w:val="00E14B1F"/>
    <w:rsid w:val="00E256D5"/>
    <w:rsid w:val="00E263C6"/>
    <w:rsid w:val="00E36DF6"/>
    <w:rsid w:val="00E3716B"/>
    <w:rsid w:val="00E4228B"/>
    <w:rsid w:val="00E43F5F"/>
    <w:rsid w:val="00E447CB"/>
    <w:rsid w:val="00E507C3"/>
    <w:rsid w:val="00E54161"/>
    <w:rsid w:val="00E6231F"/>
    <w:rsid w:val="00E6372D"/>
    <w:rsid w:val="00E63F7F"/>
    <w:rsid w:val="00E6641F"/>
    <w:rsid w:val="00E67F05"/>
    <w:rsid w:val="00E71070"/>
    <w:rsid w:val="00E82C59"/>
    <w:rsid w:val="00E9636D"/>
    <w:rsid w:val="00EA2C0E"/>
    <w:rsid w:val="00EA38C5"/>
    <w:rsid w:val="00EA3B60"/>
    <w:rsid w:val="00EA3EAB"/>
    <w:rsid w:val="00EA5934"/>
    <w:rsid w:val="00EA6DC2"/>
    <w:rsid w:val="00EB0513"/>
    <w:rsid w:val="00EC01F2"/>
    <w:rsid w:val="00EC0B6F"/>
    <w:rsid w:val="00ED073F"/>
    <w:rsid w:val="00ED328E"/>
    <w:rsid w:val="00ED56F6"/>
    <w:rsid w:val="00EE0354"/>
    <w:rsid w:val="00EE1AF3"/>
    <w:rsid w:val="00EF04FE"/>
    <w:rsid w:val="00EF051C"/>
    <w:rsid w:val="00F0008E"/>
    <w:rsid w:val="00F00480"/>
    <w:rsid w:val="00F01EC8"/>
    <w:rsid w:val="00F0405A"/>
    <w:rsid w:val="00F040D4"/>
    <w:rsid w:val="00F04AEA"/>
    <w:rsid w:val="00F1272C"/>
    <w:rsid w:val="00F1383E"/>
    <w:rsid w:val="00F154C3"/>
    <w:rsid w:val="00F155D3"/>
    <w:rsid w:val="00F1585A"/>
    <w:rsid w:val="00F23C17"/>
    <w:rsid w:val="00F2599B"/>
    <w:rsid w:val="00F25A49"/>
    <w:rsid w:val="00F305CF"/>
    <w:rsid w:val="00F34CCA"/>
    <w:rsid w:val="00F40B08"/>
    <w:rsid w:val="00F4191F"/>
    <w:rsid w:val="00F437F2"/>
    <w:rsid w:val="00F5156D"/>
    <w:rsid w:val="00F520CB"/>
    <w:rsid w:val="00F577B3"/>
    <w:rsid w:val="00F642ED"/>
    <w:rsid w:val="00F802F0"/>
    <w:rsid w:val="00F824E5"/>
    <w:rsid w:val="00F82905"/>
    <w:rsid w:val="00F85385"/>
    <w:rsid w:val="00F85DBA"/>
    <w:rsid w:val="00F86008"/>
    <w:rsid w:val="00F90A90"/>
    <w:rsid w:val="00F91D0A"/>
    <w:rsid w:val="00F9342A"/>
    <w:rsid w:val="00F936CC"/>
    <w:rsid w:val="00FA5CA4"/>
    <w:rsid w:val="00FA7596"/>
    <w:rsid w:val="00FB1733"/>
    <w:rsid w:val="00FB37FA"/>
    <w:rsid w:val="00FB5391"/>
    <w:rsid w:val="00FB5730"/>
    <w:rsid w:val="00FB775F"/>
    <w:rsid w:val="00FC42B8"/>
    <w:rsid w:val="00FC4BF4"/>
    <w:rsid w:val="00FC6C6C"/>
    <w:rsid w:val="00FD03C1"/>
    <w:rsid w:val="00FD59DB"/>
    <w:rsid w:val="00FD6942"/>
    <w:rsid w:val="00FD7CED"/>
    <w:rsid w:val="00FE0D08"/>
    <w:rsid w:val="00FE611A"/>
    <w:rsid w:val="00FE6D41"/>
    <w:rsid w:val="00FF2466"/>
    <w:rsid w:val="00FF4620"/>
    <w:rsid w:val="00FF620C"/>
    <w:rsid w:val="072A0AAE"/>
    <w:rsid w:val="0C4B1EA8"/>
    <w:rsid w:val="155CB2C5"/>
    <w:rsid w:val="1F5BC91A"/>
    <w:rsid w:val="273B2CB5"/>
    <w:rsid w:val="2D885503"/>
    <w:rsid w:val="33EDA867"/>
    <w:rsid w:val="3AB7B7FE"/>
    <w:rsid w:val="3C0082E3"/>
    <w:rsid w:val="3D308A1E"/>
    <w:rsid w:val="458E3CCC"/>
    <w:rsid w:val="46988D99"/>
    <w:rsid w:val="4E42E1D9"/>
    <w:rsid w:val="54740825"/>
    <w:rsid w:val="5EF71DEA"/>
    <w:rsid w:val="615C5ED9"/>
    <w:rsid w:val="67A24381"/>
    <w:rsid w:val="69E446C1"/>
    <w:rsid w:val="69E9E9EA"/>
    <w:rsid w:val="6D6DFBC0"/>
    <w:rsid w:val="6D8FAF06"/>
    <w:rsid w:val="708E4D29"/>
    <w:rsid w:val="79A1C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C8F0"/>
  <w15:chartTrackingRefBased/>
  <w15:docId w15:val="{C558DA84-52B0-4791-B016-C3738653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8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8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E2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B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5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8A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8A2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3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B3AA1"/>
  </w:style>
  <w:style w:type="paragraph" w:styleId="NoSpacing">
    <w:name w:val="No Spacing"/>
    <w:uiPriority w:val="1"/>
    <w:qFormat/>
    <w:rsid w:val="00DD5349"/>
    <w:pPr>
      <w:spacing w:after="0" w:line="240" w:lineRule="auto"/>
    </w:pPr>
    <w:rPr>
      <w:kern w:val="0"/>
      <w:lang w:val="en-AU"/>
      <w14:ligatures w14:val="none"/>
    </w:rPr>
  </w:style>
  <w:style w:type="character" w:customStyle="1" w:styleId="cf01">
    <w:name w:val="cf01"/>
    <w:basedOn w:val="DefaultParagraphFont"/>
    <w:rsid w:val="00E6231F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03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p2">
    <w:name w:val="x_p2"/>
    <w:basedOn w:val="Normal"/>
    <w:rsid w:val="0003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p1">
    <w:name w:val="x_p1"/>
    <w:basedOn w:val="Normal"/>
    <w:rsid w:val="0003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xs1">
    <w:name w:val="x_s1"/>
    <w:basedOn w:val="DefaultParagraphFont"/>
    <w:rsid w:val="00034CB8"/>
  </w:style>
  <w:style w:type="paragraph" w:styleId="FootnoteText">
    <w:name w:val="footnote text"/>
    <w:basedOn w:val="Normal"/>
    <w:link w:val="FootnoteTextChar"/>
    <w:uiPriority w:val="99"/>
    <w:semiHidden/>
    <w:unhideWhenUsed/>
    <w:rsid w:val="00C675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4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675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56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562A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3562A"/>
    <w:rPr>
      <w:vertAlign w:val="superscript"/>
    </w:rPr>
  </w:style>
  <w:style w:type="paragraph" w:styleId="Revision">
    <w:name w:val="Revision"/>
    <w:hidden/>
    <w:uiPriority w:val="99"/>
    <w:semiHidden/>
    <w:rsid w:val="005B297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0211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9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5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7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investgroup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mma.corcoran@proinvestgroup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investgroup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investgroup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3a291-ad2b-47a0-9e2b-edda6b262b8d" xsi:nil="true"/>
    <lcf76f155ced4ddcb4097134ff3c332f xmlns="87b4a00e-3540-46ba-8867-9432bde2af14">
      <Terms xmlns="http://schemas.microsoft.com/office/infopath/2007/PartnerControls"/>
    </lcf76f155ced4ddcb4097134ff3c332f>
    <SharedWithUsers xmlns="dc63a291-ad2b-47a0-9e2b-edda6b262b8d">
      <UserInfo>
        <DisplayName>Abbey Madden</DisplayName>
        <AccountId>79</AccountId>
        <AccountType/>
      </UserInfo>
      <UserInfo>
        <DisplayName>Donna Rodios</DisplayName>
        <AccountId>80</AccountId>
        <AccountType/>
      </UserInfo>
      <UserInfo>
        <DisplayName>Shantha DeSilva</DisplayName>
        <AccountId>12</AccountId>
        <AccountType/>
      </UserInfo>
      <UserInfo>
        <DisplayName>Emma Corcoran</DisplayName>
        <AccountId>11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9B1CF46A5B4AB0F6C46E28F06D98" ma:contentTypeVersion="15" ma:contentTypeDescription="Create a new document." ma:contentTypeScope="" ma:versionID="ed4ade62a4767ae5507d838d3a908111">
  <xsd:schema xmlns:xsd="http://www.w3.org/2001/XMLSchema" xmlns:xs="http://www.w3.org/2001/XMLSchema" xmlns:p="http://schemas.microsoft.com/office/2006/metadata/properties" xmlns:ns2="87b4a00e-3540-46ba-8867-9432bde2af14" xmlns:ns3="dc63a291-ad2b-47a0-9e2b-edda6b262b8d" targetNamespace="http://schemas.microsoft.com/office/2006/metadata/properties" ma:root="true" ma:fieldsID="f6a2de37b1b8093f934fd841774cce53" ns2:_="" ns3:_="">
    <xsd:import namespace="87b4a00e-3540-46ba-8867-9432bde2af14"/>
    <xsd:import namespace="dc63a291-ad2b-47a0-9e2b-edda6b262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a00e-3540-46ba-8867-9432bde2a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1f5456-37a2-4135-8ed1-6f00c7d92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a291-ad2b-47a0-9e2b-edda6b262b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65b31-804b-487d-8532-e236d5e53410}" ma:internalName="TaxCatchAll" ma:showField="CatchAllData" ma:web="dc63a291-ad2b-47a0-9e2b-edda6b262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5AB62-6CF4-475E-B5DA-384D69E86D50}">
  <ds:schemaRefs>
    <ds:schemaRef ds:uri="http://schemas.microsoft.com/office/2006/metadata/properties"/>
    <ds:schemaRef ds:uri="http://schemas.microsoft.com/office/infopath/2007/PartnerControls"/>
    <ds:schemaRef ds:uri="dc63a291-ad2b-47a0-9e2b-edda6b262b8d"/>
    <ds:schemaRef ds:uri="87b4a00e-3540-46ba-8867-9432bde2af14"/>
  </ds:schemaRefs>
</ds:datastoreItem>
</file>

<file path=customXml/itemProps2.xml><?xml version="1.0" encoding="utf-8"?>
<ds:datastoreItem xmlns:ds="http://schemas.openxmlformats.org/officeDocument/2006/customXml" ds:itemID="{FE60C4AB-8F86-4E81-AFDF-4158682FD2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D76466-15BD-49D1-A624-A19E1E519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4a00e-3540-46ba-8867-9432bde2af14"/>
    <ds:schemaRef ds:uri="dc63a291-ad2b-47a0-9e2b-edda6b262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EDE25-70E3-430C-8EDB-6583E9713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Corcoran</dc:creator>
  <cp:keywords/>
  <dc:description/>
  <cp:lastModifiedBy>Emma Corcoran</cp:lastModifiedBy>
  <cp:revision>21</cp:revision>
  <dcterms:created xsi:type="dcterms:W3CDTF">2024-02-22T05:29:00Z</dcterms:created>
  <dcterms:modified xsi:type="dcterms:W3CDTF">2024-02-26T21:26:00Z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0x0101002A099B1CF46A5B4AB0F6C46E28F06D98</vt:lpwstr>
  </property>
  <property fmtid="{D5CDD505-2E9C-101B-9397-08002B2CF9AE}" pid="3" name="MediaServiceImageTags">
    <vt:lpwstr/>
  </property>
</Properties>
</file>