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2082" w14:textId="77777777" w:rsidR="00E22E63" w:rsidRDefault="00E22E63" w:rsidP="004C7C01">
      <w:pPr>
        <w:pStyle w:val="Titolo1"/>
      </w:pPr>
      <w:bookmarkStart w:id="0" w:name="_Hlk146183452"/>
    </w:p>
    <w:p w14:paraId="21CC92A8" w14:textId="5530B888" w:rsidR="008D19AD" w:rsidRPr="005B1786" w:rsidRDefault="003205DD" w:rsidP="004C7C01">
      <w:pPr>
        <w:pStyle w:val="Titolo1"/>
      </w:pPr>
      <w:bookmarkStart w:id="1" w:name="_Hlk139384539"/>
      <w:r w:rsidRPr="005B1786">
        <w:t>COMUNICATO STAMPA</w:t>
      </w:r>
    </w:p>
    <w:p w14:paraId="51EB1676" w14:textId="77777777" w:rsidR="00805370" w:rsidRPr="005B1786" w:rsidRDefault="00805370" w:rsidP="001121DF">
      <w:pPr>
        <w:pStyle w:val="Titolo2"/>
        <w:jc w:val="left"/>
        <w:rPr>
          <w:sz w:val="16"/>
          <w:szCs w:val="16"/>
          <w:shd w:val="clear" w:color="auto" w:fill="FFFFFF"/>
          <w:lang w:eastAsia="it-IT"/>
        </w:rPr>
      </w:pPr>
    </w:p>
    <w:p w14:paraId="709EE3F6" w14:textId="77777777" w:rsidR="00E22E63" w:rsidRPr="005B1786" w:rsidRDefault="00E22E63" w:rsidP="00E22E63">
      <w:pPr>
        <w:pStyle w:val="Titolo2"/>
        <w:rPr>
          <w:rFonts w:ascii="Arial" w:hAnsi="Arial"/>
          <w:sz w:val="34"/>
          <w:szCs w:val="34"/>
        </w:rPr>
      </w:pPr>
      <w:bookmarkStart w:id="2" w:name="_DeA_Capital_Real"/>
      <w:bookmarkEnd w:id="2"/>
    </w:p>
    <w:p w14:paraId="7A9054EB" w14:textId="77777777" w:rsidR="00E22E63" w:rsidRPr="005B1786" w:rsidRDefault="00E22E63" w:rsidP="00E22E63">
      <w:pPr>
        <w:pStyle w:val="Titolo2"/>
        <w:rPr>
          <w:rFonts w:ascii="Arial" w:hAnsi="Arial"/>
          <w:sz w:val="34"/>
          <w:szCs w:val="34"/>
        </w:rPr>
      </w:pPr>
    </w:p>
    <w:p w14:paraId="0298D078" w14:textId="77777777" w:rsidR="00E662A7" w:rsidRPr="005B1786" w:rsidRDefault="00E662A7" w:rsidP="00E662A7">
      <w:pPr>
        <w:pStyle w:val="Titolo2"/>
        <w:rPr>
          <w:sz w:val="24"/>
          <w:szCs w:val="24"/>
        </w:rPr>
      </w:pPr>
      <w:r w:rsidRPr="005B1786">
        <w:rPr>
          <w:sz w:val="24"/>
          <w:szCs w:val="24"/>
        </w:rPr>
        <w:t xml:space="preserve">LA JOINT VENTURE DEA CAPITAL-HARRISON STREET </w:t>
      </w:r>
    </w:p>
    <w:p w14:paraId="3B823CBF" w14:textId="0A95797B" w:rsidR="00E662A7" w:rsidRPr="005B1786" w:rsidRDefault="00E662A7" w:rsidP="005B1786">
      <w:pPr>
        <w:pStyle w:val="Titolo2"/>
        <w:rPr>
          <w:sz w:val="24"/>
          <w:szCs w:val="24"/>
        </w:rPr>
      </w:pPr>
      <w:r w:rsidRPr="005B1786">
        <w:rPr>
          <w:sz w:val="24"/>
          <w:szCs w:val="24"/>
        </w:rPr>
        <w:t xml:space="preserve">ACQUISISCE </w:t>
      </w:r>
      <w:r w:rsidR="005B1786" w:rsidRPr="005B1786">
        <w:rPr>
          <w:sz w:val="24"/>
          <w:szCs w:val="24"/>
        </w:rPr>
        <w:t xml:space="preserve">430 UNITÀ BUILD-TO-RENT A </w:t>
      </w:r>
      <w:r w:rsidRPr="005B1786">
        <w:rPr>
          <w:sz w:val="24"/>
          <w:szCs w:val="24"/>
        </w:rPr>
        <w:t>MADRID</w:t>
      </w:r>
      <w:r w:rsidR="005B1786" w:rsidRPr="005B1786">
        <w:rPr>
          <w:sz w:val="24"/>
          <w:szCs w:val="24"/>
        </w:rPr>
        <w:t xml:space="preserve"> E ALICANTE</w:t>
      </w:r>
    </w:p>
    <w:p w14:paraId="35FE3393" w14:textId="77777777" w:rsidR="005B1786" w:rsidRDefault="005B1786" w:rsidP="005B1786"/>
    <w:p w14:paraId="1B06C5CC" w14:textId="77777777" w:rsidR="005B1786" w:rsidRPr="005B1786" w:rsidRDefault="005B1786" w:rsidP="005B1786"/>
    <w:p w14:paraId="51E7F729" w14:textId="385AF995" w:rsidR="005B1786" w:rsidRPr="00E41DDB" w:rsidRDefault="00E662A7" w:rsidP="005B1786">
      <w:pPr>
        <w:jc w:val="both"/>
        <w:rPr>
          <w:rFonts w:ascii="Gill Sans MT" w:hAnsi="Gill Sans MT" w:cs="Calibri"/>
          <w:b/>
          <w:i/>
          <w:iCs/>
          <w:sz w:val="20"/>
        </w:rPr>
      </w:pPr>
      <w:r w:rsidRPr="00A85BAF">
        <w:rPr>
          <w:rFonts w:ascii="Gill Sans MT" w:hAnsi="Gill Sans MT" w:cs="Calibri"/>
          <w:bCs/>
          <w:i/>
          <w:iCs/>
          <w:sz w:val="20"/>
        </w:rPr>
        <w:t>Milan</w:t>
      </w:r>
      <w:r w:rsidR="007224FD">
        <w:rPr>
          <w:rFonts w:ascii="Gill Sans MT" w:hAnsi="Gill Sans MT" w:cs="Calibri"/>
          <w:bCs/>
          <w:i/>
          <w:iCs/>
          <w:sz w:val="20"/>
        </w:rPr>
        <w:t>o</w:t>
      </w:r>
      <w:r w:rsidRPr="00E41DDB">
        <w:rPr>
          <w:rFonts w:ascii="Gill Sans MT" w:hAnsi="Gill Sans MT" w:cs="Calibri"/>
          <w:bCs/>
          <w:i/>
          <w:iCs/>
          <w:sz w:val="20"/>
        </w:rPr>
        <w:t>,</w:t>
      </w:r>
      <w:r w:rsidR="003930EB">
        <w:rPr>
          <w:rFonts w:ascii="Gill Sans MT" w:hAnsi="Gill Sans MT" w:cs="Calibri"/>
          <w:bCs/>
          <w:i/>
          <w:iCs/>
          <w:sz w:val="20"/>
        </w:rPr>
        <w:t xml:space="preserve"> Madrid</w:t>
      </w:r>
      <w:r w:rsidRPr="00E41DDB">
        <w:rPr>
          <w:rFonts w:ascii="Gill Sans MT" w:hAnsi="Gill Sans MT" w:cs="Calibri"/>
          <w:bCs/>
          <w:i/>
          <w:iCs/>
          <w:sz w:val="20"/>
        </w:rPr>
        <w:t xml:space="preserve"> </w:t>
      </w:r>
      <w:r w:rsidR="0026689A" w:rsidRPr="00E41DDB">
        <w:rPr>
          <w:rFonts w:ascii="Gill Sans MT" w:hAnsi="Gill Sans MT" w:cs="Calibri"/>
          <w:bCs/>
          <w:i/>
          <w:iCs/>
          <w:sz w:val="20"/>
        </w:rPr>
        <w:t>2</w:t>
      </w:r>
      <w:r w:rsidR="006C57CF" w:rsidRPr="00E41DDB">
        <w:rPr>
          <w:rFonts w:ascii="Gill Sans MT" w:hAnsi="Gill Sans MT" w:cs="Calibri"/>
          <w:bCs/>
          <w:i/>
          <w:iCs/>
          <w:sz w:val="20"/>
        </w:rPr>
        <w:t>1</w:t>
      </w:r>
      <w:r w:rsidR="0026689A" w:rsidRPr="00E41DDB">
        <w:rPr>
          <w:rFonts w:ascii="Gill Sans MT" w:hAnsi="Gill Sans MT" w:cs="Calibri"/>
          <w:bCs/>
          <w:i/>
          <w:iCs/>
          <w:sz w:val="20"/>
        </w:rPr>
        <w:t xml:space="preserve"> </w:t>
      </w:r>
      <w:r w:rsidR="005B1786" w:rsidRPr="00E41DDB">
        <w:rPr>
          <w:rFonts w:ascii="Gill Sans MT" w:hAnsi="Gill Sans MT" w:cs="Calibri"/>
          <w:bCs/>
          <w:i/>
          <w:iCs/>
          <w:sz w:val="20"/>
        </w:rPr>
        <w:t>settembre</w:t>
      </w:r>
      <w:r w:rsidRPr="00E41DDB">
        <w:rPr>
          <w:rFonts w:ascii="Gill Sans MT" w:hAnsi="Gill Sans MT" w:cs="Calibri"/>
          <w:bCs/>
          <w:i/>
          <w:iCs/>
          <w:sz w:val="20"/>
        </w:rPr>
        <w:t xml:space="preserve"> 2023 –</w:t>
      </w:r>
      <w:r w:rsidRPr="00A85BAF">
        <w:rPr>
          <w:rFonts w:ascii="Gill Sans MT" w:hAnsi="Gill Sans MT" w:cs="Calibri"/>
          <w:bCs/>
          <w:i/>
          <w:iCs/>
          <w:sz w:val="20"/>
        </w:rPr>
        <w:t xml:space="preserve"> </w:t>
      </w:r>
      <w:hyperlink r:id="rId8" w:history="1">
        <w:r w:rsidR="005B1786" w:rsidRPr="00E41DDB">
          <w:rPr>
            <w:rStyle w:val="Collegamentoipertestuale"/>
            <w:rFonts w:ascii="Gill Sans MT" w:hAnsi="Gill Sans MT" w:cs="Calibri"/>
            <w:b/>
            <w:color w:val="000000" w:themeColor="text1"/>
            <w:sz w:val="20"/>
            <w:u w:val="none"/>
          </w:rPr>
          <w:t>DeA Capital</w:t>
        </w:r>
        <w:r w:rsidR="005B1786" w:rsidRPr="00E41DDB">
          <w:rPr>
            <w:rStyle w:val="Collegamentoipertestuale"/>
            <w:rFonts w:ascii="Gill Sans MT" w:hAnsi="Gill Sans MT" w:cs="Calibri"/>
            <w:bCs/>
            <w:color w:val="000000" w:themeColor="text1"/>
            <w:sz w:val="20"/>
            <w:u w:val="none"/>
          </w:rPr>
          <w:t xml:space="preserve"> S.p.A.</w:t>
        </w:r>
      </w:hyperlink>
      <w:r w:rsidR="005B1786" w:rsidRPr="005B1786">
        <w:rPr>
          <w:rFonts w:ascii="Gill Sans MT" w:hAnsi="Gill Sans MT" w:cs="Calibri"/>
          <w:bCs/>
          <w:sz w:val="20"/>
        </w:rPr>
        <w:t xml:space="preserve"> </w:t>
      </w:r>
      <w:r w:rsidR="005B1786" w:rsidRPr="0026689A">
        <w:rPr>
          <w:rFonts w:ascii="Gill Sans MT" w:hAnsi="Gill Sans MT" w:cs="Calibri"/>
          <w:bCs/>
          <w:sz w:val="20"/>
        </w:rPr>
        <w:t xml:space="preserve">(“DeA Capital”), </w:t>
      </w:r>
      <w:r w:rsidR="0026689A" w:rsidRPr="0026689A">
        <w:rPr>
          <w:rFonts w:ascii="Gill Sans MT" w:hAnsi="Gill Sans MT" w:cs="Calibri"/>
          <w:bCs/>
          <w:sz w:val="20"/>
        </w:rPr>
        <w:t xml:space="preserve">piattaforma di alternative asset management indipendente, leader in Italia con una significativa presenza paneuropea, con asset under management di circa 27,7 miliardi di </w:t>
      </w:r>
      <w:r w:rsidR="0026689A" w:rsidRPr="0026689A">
        <w:rPr>
          <w:rFonts w:ascii="Gill Sans MT" w:hAnsi="Gill Sans MT" w:cs="Calibri"/>
          <w:bCs/>
          <w:i/>
          <w:iCs/>
          <w:sz w:val="20"/>
        </w:rPr>
        <w:t>Euro e</w:t>
      </w:r>
      <w:r w:rsidR="005B1786" w:rsidRPr="0026689A">
        <w:rPr>
          <w:rFonts w:ascii="Gill Sans MT" w:hAnsi="Gill Sans MT" w:cs="Calibri"/>
          <w:bCs/>
          <w:color w:val="FF0000"/>
          <w:sz w:val="20"/>
        </w:rPr>
        <w:t xml:space="preserve"> </w:t>
      </w:r>
      <w:hyperlink r:id="rId9">
        <w:r w:rsidR="005B1786" w:rsidRPr="00E41DDB">
          <w:rPr>
            <w:rStyle w:val="Collegamentoipertestuale"/>
            <w:rFonts w:ascii="Gill Sans MT" w:hAnsi="Gill Sans MT" w:cs="Calibri"/>
            <w:b/>
            <w:bCs/>
            <w:color w:val="000000" w:themeColor="text1"/>
            <w:sz w:val="20"/>
            <w:u w:val="none"/>
          </w:rPr>
          <w:t>Harrison Street</w:t>
        </w:r>
      </w:hyperlink>
      <w:r w:rsidR="005B1786" w:rsidRPr="00E41DDB">
        <w:rPr>
          <w:rFonts w:ascii="Gill Sans MT" w:hAnsi="Gill Sans MT" w:cs="Calibri"/>
          <w:b/>
          <w:bCs/>
          <w:color w:val="000000" w:themeColor="text1"/>
          <w:sz w:val="20"/>
        </w:rPr>
        <w:t>,</w:t>
      </w:r>
      <w:r w:rsidR="005B1786" w:rsidRPr="0026689A">
        <w:rPr>
          <w:rFonts w:ascii="Gill Sans MT" w:hAnsi="Gill Sans MT" w:cs="Calibri"/>
          <w:bCs/>
          <w:sz w:val="20"/>
        </w:rPr>
        <w:t xml:space="preserve"> </w:t>
      </w:r>
      <w:r w:rsidR="0026689A" w:rsidRPr="0026689A">
        <w:rPr>
          <w:rFonts w:ascii="Gill Sans MT" w:hAnsi="Gill Sans MT" w:cs="Calibri"/>
          <w:bCs/>
          <w:sz w:val="20"/>
        </w:rPr>
        <w:t>una delle principali società di investment management esclusivamente</w:t>
      </w:r>
      <w:r w:rsidR="0026689A" w:rsidRPr="0026689A">
        <w:rPr>
          <w:rFonts w:ascii="Gill Sans MT" w:hAnsi="Gill Sans MT" w:cs="Calibri"/>
          <w:bCs/>
          <w:i/>
          <w:iCs/>
          <w:sz w:val="20"/>
        </w:rPr>
        <w:t xml:space="preserve"> </w:t>
      </w:r>
      <w:r w:rsidR="0026689A" w:rsidRPr="00B65A59">
        <w:rPr>
          <w:rFonts w:ascii="Gill Sans MT" w:hAnsi="Gill Sans MT" w:cs="Calibri"/>
          <w:bCs/>
          <w:sz w:val="20"/>
        </w:rPr>
        <w:t>focalizzata su real asset  alternativi con circa 56 miliardi di dollari di asset under management,</w:t>
      </w:r>
      <w:r w:rsidR="0026689A">
        <w:rPr>
          <w:rFonts w:ascii="Gill Sans MT" w:hAnsi="Gill Sans MT" w:cs="Calibri"/>
          <w:bCs/>
          <w:i/>
          <w:iCs/>
          <w:sz w:val="20"/>
        </w:rPr>
        <w:t xml:space="preserve"> </w:t>
      </w:r>
      <w:r w:rsidR="005B1786" w:rsidRPr="0026689A">
        <w:rPr>
          <w:rFonts w:ascii="Gill Sans MT" w:hAnsi="Gill Sans MT" w:cs="Calibri"/>
          <w:bCs/>
          <w:sz w:val="20"/>
        </w:rPr>
        <w:t>hanno annunciato che, in data odierna,  la loro joint-vent</w:t>
      </w:r>
      <w:r w:rsidR="00C51BB0" w:rsidRPr="0026689A">
        <w:rPr>
          <w:rFonts w:ascii="Gill Sans MT" w:hAnsi="Gill Sans MT" w:cs="Calibri"/>
          <w:bCs/>
          <w:sz w:val="20"/>
        </w:rPr>
        <w:t>ure</w:t>
      </w:r>
      <w:r w:rsidR="005B1786" w:rsidRPr="0026689A">
        <w:rPr>
          <w:rFonts w:ascii="Gill Sans MT" w:hAnsi="Gill Sans MT" w:cs="Calibri"/>
          <w:bCs/>
          <w:sz w:val="20"/>
        </w:rPr>
        <w:t xml:space="preserve"> ha </w:t>
      </w:r>
      <w:r w:rsidR="005B1786" w:rsidRPr="00E41DDB">
        <w:rPr>
          <w:rFonts w:ascii="Gill Sans MT" w:hAnsi="Gill Sans MT" w:cs="Calibri"/>
          <w:b/>
          <w:sz w:val="20"/>
        </w:rPr>
        <w:t>acquisito</w:t>
      </w:r>
      <w:r w:rsidR="00C51BB0" w:rsidRPr="00E41DDB">
        <w:rPr>
          <w:rFonts w:ascii="Gill Sans MT" w:hAnsi="Gill Sans MT" w:cs="Calibri"/>
          <w:b/>
          <w:sz w:val="20"/>
        </w:rPr>
        <w:t xml:space="preserve"> </w:t>
      </w:r>
      <w:r w:rsidR="005B1786" w:rsidRPr="00E41DDB">
        <w:rPr>
          <w:rFonts w:ascii="Gill Sans MT" w:hAnsi="Gill Sans MT" w:cs="Calibri"/>
          <w:b/>
          <w:sz w:val="20"/>
        </w:rPr>
        <w:t xml:space="preserve">430 unità build-to-rent </w:t>
      </w:r>
      <w:r w:rsidR="00E41DDB" w:rsidRPr="00E41DDB">
        <w:rPr>
          <w:rFonts w:ascii="Gill Sans MT" w:hAnsi="Gill Sans MT" w:cs="Calibri"/>
          <w:b/>
          <w:sz w:val="20"/>
        </w:rPr>
        <w:t>attraverso</w:t>
      </w:r>
      <w:r w:rsidR="005B1786" w:rsidRPr="00E41DDB">
        <w:rPr>
          <w:rFonts w:ascii="Gill Sans MT" w:hAnsi="Gill Sans MT" w:cs="Calibri"/>
          <w:b/>
          <w:sz w:val="20"/>
        </w:rPr>
        <w:t xml:space="preserve"> due nuovi asset a Madrid e Alicante, in Spagna.</w:t>
      </w:r>
    </w:p>
    <w:p w14:paraId="1F868D35" w14:textId="77777777" w:rsidR="005B1786" w:rsidRPr="0026689A" w:rsidRDefault="005B1786" w:rsidP="005B1786">
      <w:pPr>
        <w:jc w:val="both"/>
        <w:rPr>
          <w:rFonts w:ascii="Gill Sans MT" w:hAnsi="Gill Sans MT" w:cs="Calibri"/>
          <w:bCs/>
          <w:sz w:val="20"/>
        </w:rPr>
      </w:pPr>
    </w:p>
    <w:p w14:paraId="3D8BFAA2" w14:textId="55FD054E" w:rsidR="00A91F50" w:rsidRDefault="00A91F50" w:rsidP="005B1786">
      <w:pPr>
        <w:jc w:val="both"/>
        <w:rPr>
          <w:rFonts w:ascii="Gill Sans MT" w:hAnsi="Gill Sans MT" w:cs="Calibri"/>
          <w:bCs/>
          <w:sz w:val="20"/>
        </w:rPr>
      </w:pPr>
      <w:r w:rsidRPr="00A91F50">
        <w:rPr>
          <w:rFonts w:ascii="Gill Sans MT" w:hAnsi="Gill Sans MT" w:cs="Calibri"/>
          <w:bCs/>
          <w:sz w:val="20"/>
        </w:rPr>
        <w:t>L'acquisizione contribuisce a soddisfare il crescente bisogno di immobili residenziali in affitto a prezzi accessibili in tutta la Spagna. L'</w:t>
      </w:r>
      <w:r w:rsidR="00E41DDB">
        <w:rPr>
          <w:rFonts w:ascii="Gill Sans MT" w:hAnsi="Gill Sans MT" w:cs="Calibri"/>
          <w:bCs/>
          <w:sz w:val="20"/>
        </w:rPr>
        <w:t>asset</w:t>
      </w:r>
      <w:r w:rsidRPr="00A91F50">
        <w:rPr>
          <w:rFonts w:ascii="Gill Sans MT" w:hAnsi="Gill Sans MT" w:cs="Calibri"/>
          <w:bCs/>
          <w:sz w:val="20"/>
        </w:rPr>
        <w:t xml:space="preserve"> di </w:t>
      </w:r>
      <w:r w:rsidRPr="00E41DDB">
        <w:rPr>
          <w:rFonts w:ascii="Gill Sans MT" w:hAnsi="Gill Sans MT" w:cs="Calibri"/>
          <w:b/>
          <w:sz w:val="20"/>
        </w:rPr>
        <w:t>Madrid</w:t>
      </w:r>
      <w:r w:rsidRPr="00A91F50">
        <w:rPr>
          <w:rFonts w:ascii="Gill Sans MT" w:hAnsi="Gill Sans MT" w:cs="Calibri"/>
          <w:bCs/>
          <w:sz w:val="20"/>
        </w:rPr>
        <w:t xml:space="preserve">, situato nell'ambito quartiere di San </w:t>
      </w:r>
      <w:proofErr w:type="spellStart"/>
      <w:r w:rsidRPr="00A91F50">
        <w:rPr>
          <w:rFonts w:ascii="Gill Sans MT" w:hAnsi="Gill Sans MT" w:cs="Calibri"/>
          <w:bCs/>
          <w:sz w:val="20"/>
        </w:rPr>
        <w:t>Sebastián</w:t>
      </w:r>
      <w:proofErr w:type="spellEnd"/>
      <w:r w:rsidRPr="00A91F50">
        <w:rPr>
          <w:rFonts w:ascii="Gill Sans MT" w:hAnsi="Gill Sans MT" w:cs="Calibri"/>
          <w:bCs/>
          <w:sz w:val="20"/>
        </w:rPr>
        <w:t xml:space="preserve"> de </w:t>
      </w:r>
      <w:proofErr w:type="spellStart"/>
      <w:r w:rsidRPr="00A91F50">
        <w:rPr>
          <w:rFonts w:ascii="Gill Sans MT" w:hAnsi="Gill Sans MT" w:cs="Calibri"/>
          <w:bCs/>
          <w:sz w:val="20"/>
        </w:rPr>
        <w:t>los</w:t>
      </w:r>
      <w:proofErr w:type="spellEnd"/>
      <w:r w:rsidRPr="00A91F50">
        <w:rPr>
          <w:rFonts w:ascii="Gill Sans MT" w:hAnsi="Gill Sans MT" w:cs="Calibri"/>
          <w:bCs/>
          <w:sz w:val="20"/>
        </w:rPr>
        <w:t xml:space="preserve"> Reyes, comprende </w:t>
      </w:r>
      <w:r w:rsidRPr="00E41DDB">
        <w:rPr>
          <w:rFonts w:ascii="Gill Sans MT" w:hAnsi="Gill Sans MT" w:cs="Calibri"/>
          <w:b/>
          <w:sz w:val="20"/>
        </w:rPr>
        <w:t>146 unità abitative</w:t>
      </w:r>
      <w:r w:rsidRPr="00A91F50">
        <w:rPr>
          <w:rFonts w:ascii="Gill Sans MT" w:hAnsi="Gill Sans MT" w:cs="Calibri"/>
          <w:bCs/>
          <w:sz w:val="20"/>
        </w:rPr>
        <w:t xml:space="preserve"> con servizi di alta qualità, tra cui piscina, palestra, area coworking, portineria, cucina per eventi e parcheggio sotterraneo</w:t>
      </w:r>
      <w:r>
        <w:rPr>
          <w:rFonts w:ascii="Gill Sans MT" w:hAnsi="Gill Sans MT" w:cs="Calibri"/>
          <w:bCs/>
          <w:sz w:val="20"/>
        </w:rPr>
        <w:t xml:space="preserve">. </w:t>
      </w:r>
      <w:r w:rsidRPr="00A91F50">
        <w:rPr>
          <w:rFonts w:ascii="Gill Sans MT" w:hAnsi="Gill Sans MT" w:cs="Calibri"/>
          <w:bCs/>
          <w:sz w:val="20"/>
        </w:rPr>
        <w:t xml:space="preserve">La proprietà di </w:t>
      </w:r>
      <w:r w:rsidRPr="00E41DDB">
        <w:rPr>
          <w:rFonts w:ascii="Gill Sans MT" w:hAnsi="Gill Sans MT" w:cs="Calibri"/>
          <w:b/>
          <w:sz w:val="20"/>
        </w:rPr>
        <w:t>Alicante</w:t>
      </w:r>
      <w:r w:rsidRPr="00A91F50">
        <w:rPr>
          <w:rFonts w:ascii="Gill Sans MT" w:hAnsi="Gill Sans MT" w:cs="Calibri"/>
          <w:bCs/>
          <w:sz w:val="20"/>
        </w:rPr>
        <w:t xml:space="preserve">, situata a </w:t>
      </w:r>
      <w:proofErr w:type="spellStart"/>
      <w:r w:rsidRPr="00A91F50">
        <w:rPr>
          <w:rFonts w:ascii="Gill Sans MT" w:hAnsi="Gill Sans MT" w:cs="Calibri"/>
          <w:bCs/>
          <w:sz w:val="20"/>
        </w:rPr>
        <w:t>Benissaudet</w:t>
      </w:r>
      <w:proofErr w:type="spellEnd"/>
      <w:r w:rsidRPr="00A91F50">
        <w:rPr>
          <w:rFonts w:ascii="Gill Sans MT" w:hAnsi="Gill Sans MT" w:cs="Calibri"/>
          <w:bCs/>
          <w:sz w:val="20"/>
        </w:rPr>
        <w:t xml:space="preserve">, comprende </w:t>
      </w:r>
      <w:r w:rsidRPr="00E41DDB">
        <w:rPr>
          <w:rFonts w:ascii="Gill Sans MT" w:hAnsi="Gill Sans MT" w:cs="Calibri"/>
          <w:b/>
          <w:sz w:val="20"/>
        </w:rPr>
        <w:t>284 unità</w:t>
      </w:r>
      <w:r w:rsidRPr="00A91F50">
        <w:rPr>
          <w:rFonts w:ascii="Gill Sans MT" w:hAnsi="Gill Sans MT" w:cs="Calibri"/>
          <w:bCs/>
          <w:sz w:val="20"/>
        </w:rPr>
        <w:t xml:space="preserve"> e prevede due fasi di ristrutturazione, che dovrebbero essere completate entro il quarto trimestre del 2025.</w:t>
      </w:r>
    </w:p>
    <w:p w14:paraId="01D5B212" w14:textId="77777777" w:rsidR="00A91F50" w:rsidRDefault="00A91F50" w:rsidP="005B1786">
      <w:pPr>
        <w:jc w:val="both"/>
        <w:rPr>
          <w:rFonts w:ascii="Gill Sans MT" w:hAnsi="Gill Sans MT" w:cs="Calibri"/>
          <w:bCs/>
          <w:sz w:val="20"/>
        </w:rPr>
      </w:pPr>
    </w:p>
    <w:p w14:paraId="319DBF5C" w14:textId="387FA46D" w:rsidR="005B1786" w:rsidRPr="00C5042B" w:rsidRDefault="005B1786" w:rsidP="005B1786">
      <w:pPr>
        <w:jc w:val="both"/>
        <w:rPr>
          <w:rFonts w:ascii="Gill Sans MT" w:hAnsi="Gill Sans MT" w:cs="Calibri"/>
          <w:bCs/>
          <w:sz w:val="20"/>
        </w:rPr>
      </w:pPr>
      <w:r w:rsidRPr="00E41DDB">
        <w:rPr>
          <w:rFonts w:ascii="Gill Sans MT" w:hAnsi="Gill Sans MT" w:cs="Calibri"/>
          <w:b/>
          <w:sz w:val="20"/>
        </w:rPr>
        <w:t xml:space="preserve">Paul Bashir, Chief Executive Officer </w:t>
      </w:r>
      <w:r w:rsidR="00C51BB0" w:rsidRPr="00E41DDB">
        <w:rPr>
          <w:rFonts w:ascii="Gill Sans MT" w:hAnsi="Gill Sans MT" w:cs="Calibri"/>
          <w:b/>
          <w:sz w:val="20"/>
        </w:rPr>
        <w:t xml:space="preserve">di </w:t>
      </w:r>
      <w:r w:rsidRPr="00E41DDB">
        <w:rPr>
          <w:rFonts w:ascii="Gill Sans MT" w:hAnsi="Gill Sans MT" w:cs="Calibri"/>
          <w:b/>
          <w:sz w:val="20"/>
        </w:rPr>
        <w:t>Harrison Street</w:t>
      </w:r>
      <w:r w:rsidR="00C51BB0" w:rsidRPr="00C5042B">
        <w:rPr>
          <w:rFonts w:ascii="Gill Sans MT" w:hAnsi="Gill Sans MT" w:cs="Calibri"/>
          <w:bCs/>
          <w:sz w:val="20"/>
        </w:rPr>
        <w:t xml:space="preserve"> in Europa</w:t>
      </w:r>
      <w:r w:rsidRPr="00C5042B">
        <w:rPr>
          <w:rFonts w:ascii="Gill Sans MT" w:hAnsi="Gill Sans MT" w:cs="Calibri"/>
          <w:bCs/>
          <w:sz w:val="20"/>
        </w:rPr>
        <w:t xml:space="preserve">, </w:t>
      </w:r>
      <w:r w:rsidR="00C51BB0" w:rsidRPr="00C5042B">
        <w:rPr>
          <w:rFonts w:ascii="Gill Sans MT" w:hAnsi="Gill Sans MT" w:cs="Calibri"/>
          <w:bCs/>
          <w:sz w:val="20"/>
        </w:rPr>
        <w:t>ha commentato</w:t>
      </w:r>
      <w:r w:rsidR="00C5042B" w:rsidRPr="00C5042B">
        <w:rPr>
          <w:rFonts w:ascii="Gill Sans MT" w:hAnsi="Gill Sans MT" w:cs="Calibri"/>
          <w:bCs/>
          <w:sz w:val="20"/>
        </w:rPr>
        <w:t>:</w:t>
      </w:r>
      <w:r w:rsidRPr="00C5042B">
        <w:rPr>
          <w:rFonts w:ascii="Gill Sans MT" w:hAnsi="Gill Sans MT" w:cs="Calibri"/>
          <w:bCs/>
          <w:sz w:val="20"/>
        </w:rPr>
        <w:t xml:space="preserve"> </w:t>
      </w:r>
      <w:r w:rsidR="00C5042B" w:rsidRPr="00C5042B">
        <w:rPr>
          <w:rFonts w:ascii="Gill Sans MT" w:hAnsi="Gill Sans MT" w:cs="Calibri"/>
          <w:bCs/>
          <w:sz w:val="20"/>
        </w:rPr>
        <w:t>"Siamo entusiasti di ampliare la nostra partnership con DeA Capital per portare questi due nuovi immobili a Madrid e Alicante. Poiché la domanda di alloggi moderni e a prezzi accessibili continua a crescere in Spagna, abbiamo collaborato con DeA Capital per espandere la nostra presenza e identificare interessanti proprietà BTR in aree metropolitane chiave con un significativo potenziale di crescita. Non vediamo l'ora di individuare ulteriormente alloggi in affitto di alta qualità in mercati europei chiave con forti dinamiche di domanda-offerta e di lavorare con i nostri partner per rispondere al crescente bisogno di alloggi di qualità in tutta la regione."</w:t>
      </w:r>
    </w:p>
    <w:p w14:paraId="56A80135" w14:textId="77777777" w:rsidR="00C5042B" w:rsidRPr="003930EB" w:rsidRDefault="00C5042B" w:rsidP="005B1786">
      <w:pPr>
        <w:jc w:val="both"/>
        <w:rPr>
          <w:rFonts w:ascii="Gill Sans MT" w:hAnsi="Gill Sans MT" w:cs="Calibri"/>
          <w:bCs/>
          <w:color w:val="000000" w:themeColor="text1"/>
          <w:sz w:val="20"/>
        </w:rPr>
      </w:pPr>
    </w:p>
    <w:p w14:paraId="676DCB9B" w14:textId="363BDBE8" w:rsidR="002B62FB" w:rsidRPr="003930EB" w:rsidRDefault="002B62FB" w:rsidP="005B1786">
      <w:pPr>
        <w:jc w:val="both"/>
        <w:rPr>
          <w:rFonts w:ascii="Gill Sans MT" w:hAnsi="Gill Sans MT" w:cs="Calibri"/>
          <w:bCs/>
          <w:color w:val="000000" w:themeColor="text1"/>
          <w:sz w:val="20"/>
        </w:rPr>
      </w:pPr>
      <w:r w:rsidRPr="00E41DDB">
        <w:rPr>
          <w:rFonts w:ascii="Gill Sans MT" w:hAnsi="Gill Sans MT" w:cs="Calibri"/>
          <w:b/>
          <w:sz w:val="20"/>
        </w:rPr>
        <w:t>Emanuele Caniggia,</w:t>
      </w:r>
      <w:r w:rsidRPr="00E41DDB">
        <w:rPr>
          <w:rFonts w:ascii="Gill Sans MT" w:hAnsi="Gill Sans MT" w:cs="Calibri"/>
          <w:b/>
          <w:color w:val="FF0000"/>
          <w:sz w:val="20"/>
        </w:rPr>
        <w:t xml:space="preserve"> </w:t>
      </w:r>
      <w:r w:rsidRPr="00E41DDB">
        <w:rPr>
          <w:rFonts w:ascii="Gill Sans MT" w:hAnsi="Gill Sans MT" w:cs="Calibri"/>
          <w:b/>
          <w:sz w:val="20"/>
        </w:rPr>
        <w:t>Chief Executive Officer di DeA Capital Real Estate SGR</w:t>
      </w:r>
      <w:r>
        <w:rPr>
          <w:rFonts w:ascii="Gill Sans MT" w:hAnsi="Gill Sans MT" w:cs="Calibri"/>
          <w:bCs/>
          <w:sz w:val="20"/>
        </w:rPr>
        <w:t xml:space="preserve"> e</w:t>
      </w:r>
      <w:r w:rsidRPr="00C5042B">
        <w:rPr>
          <w:rFonts w:ascii="Gill Sans MT" w:hAnsi="Gill Sans MT" w:cs="Calibri"/>
          <w:bCs/>
          <w:sz w:val="20"/>
        </w:rPr>
        <w:t xml:space="preserve"> </w:t>
      </w:r>
      <w:r w:rsidRPr="002B62FB">
        <w:rPr>
          <w:rFonts w:ascii="Gill Sans MT" w:hAnsi="Gill Sans MT" w:cs="Calibri"/>
          <w:bCs/>
          <w:sz w:val="20"/>
        </w:rPr>
        <w:t xml:space="preserve">responsabile Real Estate di DeA Capital ha dichiarato: questa operazione dimostra la continua e costante espansione della piattaforma real estate di DeA Capital all’estero. Un altro tassello importante che contribuisce al consolidamento del nostro track record e a porre le basi per </w:t>
      </w:r>
      <w:r>
        <w:rPr>
          <w:rFonts w:ascii="Gill Sans MT" w:hAnsi="Gill Sans MT" w:cs="Calibri"/>
          <w:bCs/>
          <w:sz w:val="20"/>
        </w:rPr>
        <w:t xml:space="preserve">una nostra costante presenza </w:t>
      </w:r>
      <w:r w:rsidRPr="002B62FB">
        <w:rPr>
          <w:rFonts w:ascii="Gill Sans MT" w:hAnsi="Gill Sans MT" w:cs="Calibri"/>
          <w:bCs/>
          <w:sz w:val="20"/>
        </w:rPr>
        <w:t>in tutte le asset class del settore immobiliare europeo.</w:t>
      </w:r>
    </w:p>
    <w:p w14:paraId="0D1F0BA0" w14:textId="77777777" w:rsidR="002B62FB" w:rsidRPr="003930EB" w:rsidRDefault="002B62FB" w:rsidP="005B1786">
      <w:pPr>
        <w:jc w:val="both"/>
        <w:rPr>
          <w:rFonts w:ascii="Gill Sans MT" w:hAnsi="Gill Sans MT" w:cs="Calibri"/>
          <w:bCs/>
          <w:color w:val="000000" w:themeColor="text1"/>
          <w:sz w:val="20"/>
        </w:rPr>
      </w:pPr>
    </w:p>
    <w:p w14:paraId="52D9F543" w14:textId="5912159C" w:rsidR="005B1786" w:rsidRPr="00C5042B" w:rsidRDefault="005B1786" w:rsidP="005B1786">
      <w:pPr>
        <w:jc w:val="both"/>
        <w:rPr>
          <w:rFonts w:ascii="Gill Sans MT" w:hAnsi="Gill Sans MT" w:cs="Calibri"/>
          <w:bCs/>
          <w:sz w:val="20"/>
        </w:rPr>
      </w:pPr>
      <w:r w:rsidRPr="00E41DDB">
        <w:rPr>
          <w:rFonts w:ascii="Gill Sans MT" w:hAnsi="Gill Sans MT" w:cs="Calibri"/>
          <w:b/>
          <w:sz w:val="20"/>
        </w:rPr>
        <w:t xml:space="preserve">Koldo Ibarra, Chief Executive Officer </w:t>
      </w:r>
      <w:r w:rsidR="00C5042B" w:rsidRPr="00E41DDB">
        <w:rPr>
          <w:rFonts w:ascii="Gill Sans MT" w:hAnsi="Gill Sans MT" w:cs="Calibri"/>
          <w:b/>
          <w:sz w:val="20"/>
        </w:rPr>
        <w:t xml:space="preserve">di </w:t>
      </w:r>
      <w:r w:rsidRPr="00E41DDB">
        <w:rPr>
          <w:rFonts w:ascii="Gill Sans MT" w:hAnsi="Gill Sans MT" w:cs="Calibri"/>
          <w:b/>
          <w:sz w:val="20"/>
        </w:rPr>
        <w:t>DeA Capital Real Estate Iberia</w:t>
      </w:r>
      <w:r w:rsidRPr="00C5042B">
        <w:rPr>
          <w:rFonts w:ascii="Gill Sans MT" w:hAnsi="Gill Sans MT" w:cs="Calibri"/>
          <w:bCs/>
          <w:sz w:val="20"/>
        </w:rPr>
        <w:t xml:space="preserve"> </w:t>
      </w:r>
      <w:r w:rsidR="00C5042B" w:rsidRPr="00C5042B">
        <w:rPr>
          <w:rFonts w:ascii="Gill Sans MT" w:hAnsi="Gill Sans MT" w:cs="Calibri"/>
          <w:bCs/>
          <w:sz w:val="20"/>
        </w:rPr>
        <w:t>ha affermato</w:t>
      </w:r>
      <w:r w:rsidRPr="00C5042B">
        <w:rPr>
          <w:rFonts w:ascii="Gill Sans MT" w:hAnsi="Gill Sans MT" w:cs="Calibri"/>
          <w:bCs/>
          <w:sz w:val="20"/>
        </w:rPr>
        <w:t xml:space="preserve"> </w:t>
      </w:r>
      <w:r w:rsidR="00C5042B" w:rsidRPr="00C5042B">
        <w:rPr>
          <w:rFonts w:ascii="Gill Sans MT" w:hAnsi="Gill Sans MT" w:cs="Calibri"/>
          <w:bCs/>
          <w:sz w:val="20"/>
        </w:rPr>
        <w:t xml:space="preserve">"È nel DNA di DeA Capital promuovere relazioni durature con i nostri partner. Dotiamo le nostre joint venture di </w:t>
      </w:r>
      <w:proofErr w:type="gramStart"/>
      <w:r w:rsidR="00C5042B" w:rsidRPr="00C5042B">
        <w:rPr>
          <w:rFonts w:ascii="Gill Sans MT" w:hAnsi="Gill Sans MT" w:cs="Calibri"/>
          <w:bCs/>
          <w:sz w:val="20"/>
        </w:rPr>
        <w:t>team esperti</w:t>
      </w:r>
      <w:proofErr w:type="gramEnd"/>
      <w:r w:rsidR="00C5042B" w:rsidRPr="00C5042B">
        <w:rPr>
          <w:rFonts w:ascii="Gill Sans MT" w:hAnsi="Gill Sans MT" w:cs="Calibri"/>
          <w:bCs/>
          <w:sz w:val="20"/>
        </w:rPr>
        <w:t xml:space="preserve"> che gestiscono le operazioni con integrità ESG ed eccellono nella qualità tecnica, portando a risultati eccezionali."</w:t>
      </w:r>
    </w:p>
    <w:p w14:paraId="4D50CE79" w14:textId="77777777" w:rsidR="00C5042B" w:rsidRPr="003930EB" w:rsidRDefault="00C5042B" w:rsidP="005B1786">
      <w:pPr>
        <w:jc w:val="both"/>
        <w:rPr>
          <w:rFonts w:ascii="Gill Sans MT" w:hAnsi="Gill Sans MT" w:cs="Calibri"/>
          <w:bCs/>
          <w:color w:val="000000" w:themeColor="text1"/>
          <w:sz w:val="20"/>
        </w:rPr>
      </w:pPr>
    </w:p>
    <w:p w14:paraId="1C2A7145" w14:textId="6550E1B8" w:rsidR="005B1786" w:rsidRPr="0026689A" w:rsidRDefault="005B1786" w:rsidP="005B1786">
      <w:pPr>
        <w:jc w:val="both"/>
        <w:rPr>
          <w:rFonts w:ascii="Gill Sans MT" w:hAnsi="Gill Sans MT" w:cs="Calibri"/>
          <w:bCs/>
          <w:sz w:val="20"/>
        </w:rPr>
      </w:pPr>
      <w:r w:rsidRPr="00E41DDB">
        <w:rPr>
          <w:rFonts w:ascii="Gill Sans MT" w:hAnsi="Gill Sans MT" w:cs="Calibri"/>
          <w:b/>
          <w:sz w:val="20"/>
        </w:rPr>
        <w:t>Emanuele Dubini, CIO &amp; Head of International Business</w:t>
      </w:r>
      <w:r w:rsidRPr="00E41DDB" w:rsidDel="00E97E29">
        <w:rPr>
          <w:rFonts w:ascii="Gill Sans MT" w:hAnsi="Gill Sans MT" w:cs="Calibri"/>
          <w:b/>
          <w:sz w:val="20"/>
        </w:rPr>
        <w:t xml:space="preserve"> </w:t>
      </w:r>
      <w:r w:rsidR="00C5042B" w:rsidRPr="00E41DDB">
        <w:rPr>
          <w:rFonts w:ascii="Gill Sans MT" w:hAnsi="Gill Sans MT" w:cs="Calibri"/>
          <w:b/>
          <w:sz w:val="20"/>
        </w:rPr>
        <w:t xml:space="preserve">di </w:t>
      </w:r>
      <w:r w:rsidRPr="00E41DDB">
        <w:rPr>
          <w:rFonts w:ascii="Gill Sans MT" w:hAnsi="Gill Sans MT" w:cs="Calibri"/>
          <w:b/>
          <w:sz w:val="20"/>
        </w:rPr>
        <w:t>DeA Capital Real Estate</w:t>
      </w:r>
      <w:r w:rsidRPr="00F64CD4">
        <w:rPr>
          <w:rFonts w:ascii="Gill Sans MT" w:hAnsi="Gill Sans MT" w:cs="Calibri"/>
          <w:bCs/>
          <w:sz w:val="20"/>
        </w:rPr>
        <w:t xml:space="preserve"> </w:t>
      </w:r>
      <w:r w:rsidR="00C5042B" w:rsidRPr="00F64CD4">
        <w:rPr>
          <w:rFonts w:ascii="Gill Sans MT" w:hAnsi="Gill Sans MT" w:cs="Calibri"/>
          <w:bCs/>
          <w:sz w:val="20"/>
        </w:rPr>
        <w:t xml:space="preserve">ha </w:t>
      </w:r>
      <w:r w:rsidR="00E41DDB" w:rsidRPr="00F64CD4">
        <w:rPr>
          <w:rFonts w:ascii="Gill Sans MT" w:hAnsi="Gill Sans MT" w:cs="Calibri"/>
          <w:bCs/>
          <w:sz w:val="20"/>
        </w:rPr>
        <w:t>commentato</w:t>
      </w:r>
      <w:r w:rsidR="00C5042B" w:rsidRPr="00F64CD4">
        <w:rPr>
          <w:rFonts w:ascii="Gill Sans MT" w:hAnsi="Gill Sans MT" w:cs="Calibri"/>
          <w:bCs/>
          <w:sz w:val="20"/>
        </w:rPr>
        <w:t>:</w:t>
      </w:r>
      <w:r w:rsidRPr="00F64CD4">
        <w:rPr>
          <w:rFonts w:ascii="Gill Sans MT" w:hAnsi="Gill Sans MT" w:cs="Calibri"/>
          <w:bCs/>
          <w:color w:val="FF0000"/>
          <w:sz w:val="20"/>
        </w:rPr>
        <w:t xml:space="preserve"> </w:t>
      </w:r>
      <w:r w:rsidR="00F64CD4" w:rsidRPr="00F64CD4">
        <w:rPr>
          <w:rFonts w:ascii="Gill Sans MT" w:hAnsi="Gill Sans MT" w:cs="Calibri"/>
          <w:bCs/>
          <w:sz w:val="20"/>
        </w:rPr>
        <w:t xml:space="preserve">"Insieme, DeA Capital e Harrison Street hanno elaborato con successo una strategia residenziale sostenibile per la nostra partnership duratura e il nostro obiettivo comune è quello di offrire alle famiglie un accesso per gli anni a venire. Sono molto orgoglioso del notevole lavoro svolto da </w:t>
      </w:r>
      <w:proofErr w:type="gramStart"/>
      <w:r w:rsidR="00F64CD4" w:rsidRPr="00F64CD4">
        <w:rPr>
          <w:rFonts w:ascii="Gill Sans MT" w:hAnsi="Gill Sans MT" w:cs="Calibri"/>
          <w:bCs/>
          <w:sz w:val="20"/>
        </w:rPr>
        <w:t>tutti i team coinvolti</w:t>
      </w:r>
      <w:proofErr w:type="gramEnd"/>
      <w:r w:rsidR="00F64CD4" w:rsidRPr="00F64CD4">
        <w:rPr>
          <w:rFonts w:ascii="Gill Sans MT" w:hAnsi="Gill Sans MT" w:cs="Calibri"/>
          <w:bCs/>
          <w:sz w:val="20"/>
        </w:rPr>
        <w:t xml:space="preserve">. </w:t>
      </w:r>
      <w:r w:rsidR="00F64CD4" w:rsidRPr="0026689A">
        <w:rPr>
          <w:rFonts w:ascii="Gill Sans MT" w:hAnsi="Gill Sans MT" w:cs="Calibri"/>
          <w:bCs/>
          <w:sz w:val="20"/>
        </w:rPr>
        <w:t>Un</w:t>
      </w:r>
      <w:r w:rsidR="00B65A59">
        <w:rPr>
          <w:rFonts w:ascii="Gill Sans MT" w:hAnsi="Gill Sans MT" w:cs="Calibri"/>
          <w:bCs/>
          <w:sz w:val="20"/>
        </w:rPr>
        <w:t xml:space="preserve">a </w:t>
      </w:r>
      <w:r w:rsidR="00F64CD4" w:rsidRPr="0026689A">
        <w:rPr>
          <w:rFonts w:ascii="Gill Sans MT" w:hAnsi="Gill Sans MT" w:cs="Calibri"/>
          <w:bCs/>
          <w:sz w:val="20"/>
        </w:rPr>
        <w:t>squadra, un</w:t>
      </w:r>
      <w:r w:rsidR="00B65A59">
        <w:rPr>
          <w:rFonts w:ascii="Gill Sans MT" w:hAnsi="Gill Sans MT" w:cs="Calibri"/>
          <w:bCs/>
          <w:sz w:val="20"/>
        </w:rPr>
        <w:t xml:space="preserve"> unico</w:t>
      </w:r>
      <w:r w:rsidR="00F64CD4" w:rsidRPr="0026689A">
        <w:rPr>
          <w:rFonts w:ascii="Gill Sans MT" w:hAnsi="Gill Sans MT" w:cs="Calibri"/>
          <w:bCs/>
          <w:sz w:val="20"/>
        </w:rPr>
        <w:t xml:space="preserve"> obiettivo!".</w:t>
      </w:r>
    </w:p>
    <w:p w14:paraId="1F95E92C" w14:textId="77777777" w:rsidR="00F64CD4" w:rsidRPr="003930EB" w:rsidRDefault="00F64CD4" w:rsidP="005B1786">
      <w:pPr>
        <w:jc w:val="both"/>
        <w:rPr>
          <w:rFonts w:ascii="Gill Sans MT" w:hAnsi="Gill Sans MT" w:cs="Calibri"/>
          <w:bCs/>
          <w:color w:val="000000" w:themeColor="text1"/>
          <w:sz w:val="20"/>
        </w:rPr>
      </w:pPr>
    </w:p>
    <w:p w14:paraId="018AE12F" w14:textId="1EAB85BF" w:rsidR="00F64CD4" w:rsidRPr="0026689A" w:rsidRDefault="00F64CD4" w:rsidP="005B1786">
      <w:pPr>
        <w:jc w:val="both"/>
        <w:rPr>
          <w:rFonts w:ascii="Gill Sans MT" w:hAnsi="Gill Sans MT" w:cs="Calibri"/>
          <w:bCs/>
          <w:sz w:val="20"/>
        </w:rPr>
      </w:pPr>
      <w:r w:rsidRPr="00F64CD4">
        <w:rPr>
          <w:rFonts w:ascii="Gill Sans MT" w:hAnsi="Gill Sans MT" w:cs="Calibri"/>
          <w:bCs/>
          <w:sz w:val="20"/>
        </w:rPr>
        <w:t xml:space="preserve">Questa acquisizione consolida la partnership tra </w:t>
      </w:r>
      <w:r w:rsidR="00B65A59" w:rsidRPr="00F64CD4">
        <w:rPr>
          <w:rFonts w:ascii="Gill Sans MT" w:hAnsi="Gill Sans MT" w:cs="Calibri"/>
          <w:bCs/>
          <w:sz w:val="20"/>
        </w:rPr>
        <w:t xml:space="preserve">DeA Capital </w:t>
      </w:r>
      <w:r w:rsidR="00B65A59">
        <w:rPr>
          <w:rFonts w:ascii="Gill Sans MT" w:hAnsi="Gill Sans MT" w:cs="Calibri"/>
          <w:bCs/>
          <w:sz w:val="20"/>
        </w:rPr>
        <w:t xml:space="preserve">e </w:t>
      </w:r>
      <w:r w:rsidRPr="00F64CD4">
        <w:rPr>
          <w:rFonts w:ascii="Gill Sans MT" w:hAnsi="Gill Sans MT" w:cs="Calibri"/>
          <w:bCs/>
          <w:sz w:val="20"/>
        </w:rPr>
        <w:t>Harrison Street</w:t>
      </w:r>
      <w:r w:rsidR="00B65A59">
        <w:rPr>
          <w:rFonts w:ascii="Gill Sans MT" w:hAnsi="Gill Sans MT" w:cs="Calibri"/>
          <w:bCs/>
          <w:sz w:val="20"/>
        </w:rPr>
        <w:t>,</w:t>
      </w:r>
      <w:r w:rsidRPr="00F64CD4">
        <w:rPr>
          <w:rFonts w:ascii="Gill Sans MT" w:hAnsi="Gill Sans MT" w:cs="Calibri"/>
          <w:bCs/>
          <w:sz w:val="20"/>
        </w:rPr>
        <w:t xml:space="preserve"> la joint venture che opererà sotto il nome di </w:t>
      </w:r>
      <w:r w:rsidRPr="00E41DDB">
        <w:rPr>
          <w:rFonts w:ascii="Gill Sans MT" w:hAnsi="Gill Sans MT" w:cs="Calibri"/>
          <w:b/>
          <w:sz w:val="20"/>
        </w:rPr>
        <w:t>LAVIDDA</w:t>
      </w:r>
      <w:r w:rsidRPr="00F64CD4">
        <w:rPr>
          <w:rFonts w:ascii="Gill Sans MT" w:hAnsi="Gill Sans MT" w:cs="Calibri"/>
          <w:bCs/>
          <w:sz w:val="20"/>
        </w:rPr>
        <w:t xml:space="preserve">, un marchio concepito per lanciare un nuovo concetto di "build-to-rent", propone una nuova gestione abitativa e un nuovo modo di vivere. </w:t>
      </w:r>
      <w:r w:rsidRPr="0026689A">
        <w:rPr>
          <w:rFonts w:ascii="Gill Sans MT" w:hAnsi="Gill Sans MT" w:cs="Calibri"/>
          <w:bCs/>
          <w:sz w:val="20"/>
        </w:rPr>
        <w:t>Un modo più giovane, aperto e libero che offrirà anche un ambiente sociale più vivace e dinamico.</w:t>
      </w:r>
    </w:p>
    <w:p w14:paraId="7BA9CD67" w14:textId="77777777" w:rsidR="00F64CD4" w:rsidRPr="003930EB" w:rsidRDefault="00F64CD4" w:rsidP="005B1786">
      <w:pPr>
        <w:jc w:val="both"/>
        <w:rPr>
          <w:rFonts w:ascii="Gill Sans MT" w:hAnsi="Gill Sans MT" w:cs="Calibri"/>
          <w:bCs/>
          <w:color w:val="000000" w:themeColor="text1"/>
          <w:sz w:val="20"/>
        </w:rPr>
      </w:pPr>
    </w:p>
    <w:p w14:paraId="5A0A9997" w14:textId="1E6F1374" w:rsidR="005B1786" w:rsidRDefault="00627AB9" w:rsidP="005B1786">
      <w:pPr>
        <w:jc w:val="both"/>
        <w:rPr>
          <w:rFonts w:ascii="Gill Sans MT" w:hAnsi="Gill Sans MT" w:cs="Calibri"/>
          <w:bCs/>
          <w:sz w:val="20"/>
        </w:rPr>
      </w:pPr>
      <w:r w:rsidRPr="00627AB9">
        <w:rPr>
          <w:rFonts w:ascii="Gill Sans MT" w:hAnsi="Gill Sans MT" w:cs="Calibri"/>
          <w:bCs/>
          <w:sz w:val="20"/>
        </w:rPr>
        <w:t>Con un'attenzione particolare all'innovazione, alla sostenibilità e alla soddisfazione del cliente, LAVIDDA si impegna a raggiungere una tappa significativa nell'evoluzione del mercato BTR in Spagna e a migliorare l'esperienza abitativa degli inquilini.</w:t>
      </w:r>
    </w:p>
    <w:p w14:paraId="7ED1D20D" w14:textId="77777777" w:rsidR="00627AB9" w:rsidRPr="00627AB9" w:rsidRDefault="00627AB9" w:rsidP="005B1786">
      <w:pPr>
        <w:jc w:val="both"/>
        <w:rPr>
          <w:rFonts w:ascii="Gill Sans MT" w:hAnsi="Gill Sans MT" w:cs="Calibri"/>
          <w:bCs/>
          <w:i/>
          <w:iCs/>
          <w:sz w:val="20"/>
        </w:rPr>
      </w:pPr>
    </w:p>
    <w:p w14:paraId="6A7EAE07" w14:textId="3E68F583" w:rsidR="005B1786" w:rsidRPr="00627AB9" w:rsidRDefault="00627AB9" w:rsidP="005B1786">
      <w:pPr>
        <w:jc w:val="both"/>
        <w:rPr>
          <w:rFonts w:ascii="Gill Sans MT" w:hAnsi="Gill Sans MT" w:cs="Calibri"/>
          <w:bCs/>
          <w:sz w:val="20"/>
        </w:rPr>
      </w:pPr>
      <w:r w:rsidRPr="00627AB9">
        <w:rPr>
          <w:rFonts w:ascii="Gill Sans MT" w:hAnsi="Gill Sans MT" w:cs="Calibri"/>
          <w:bCs/>
          <w:sz w:val="20"/>
        </w:rPr>
        <w:t>Dalla sua nascita, lo scorso anno, LAVIDDA gestisce attualmente otto progetti per un totale di 1.634 abitazioni, tra cui sette progetti in fase di sviluppo e uno in fase operativa. Con la continua espansione del marchio, si prevede di gestire 3.000 abitazioni entro il 2025. I progetti LAVIDDA sono caratterizzati da servizi di lusso all-inclusive, tra cui portineria 24 ore su 24, palestra, lounge per i residenti, piscina, campo da pade</w:t>
      </w:r>
      <w:r w:rsidR="00E41DDB">
        <w:rPr>
          <w:rFonts w:ascii="Gill Sans MT" w:hAnsi="Gill Sans MT" w:cs="Calibri"/>
          <w:bCs/>
          <w:sz w:val="20"/>
        </w:rPr>
        <w:t>l</w:t>
      </w:r>
      <w:r w:rsidRPr="00627AB9">
        <w:rPr>
          <w:rFonts w:ascii="Gill Sans MT" w:hAnsi="Gill Sans MT" w:cs="Calibri"/>
          <w:bCs/>
          <w:sz w:val="20"/>
        </w:rPr>
        <w:t>, sala cinema e app per gli inquilini, oltre a terrazze private, giardini, spazi di co-working e un cortile.</w:t>
      </w:r>
    </w:p>
    <w:p w14:paraId="3B8A6C83" w14:textId="77777777" w:rsidR="00627AB9" w:rsidRPr="003930EB" w:rsidRDefault="00627AB9" w:rsidP="005B1786">
      <w:pPr>
        <w:jc w:val="both"/>
        <w:rPr>
          <w:rFonts w:ascii="Gill Sans MT" w:hAnsi="Gill Sans MT" w:cs="Calibri"/>
          <w:bCs/>
          <w:color w:val="000000" w:themeColor="text1"/>
          <w:sz w:val="20"/>
        </w:rPr>
      </w:pPr>
    </w:p>
    <w:p w14:paraId="7907216E" w14:textId="4C2E78E6" w:rsidR="005B1786" w:rsidRPr="00627AB9" w:rsidRDefault="00627AB9" w:rsidP="005B1786">
      <w:pPr>
        <w:jc w:val="both"/>
        <w:rPr>
          <w:rFonts w:ascii="Gill Sans MT" w:hAnsi="Gill Sans MT" w:cs="Calibri"/>
          <w:bCs/>
          <w:sz w:val="20"/>
        </w:rPr>
      </w:pPr>
      <w:r w:rsidRPr="00627AB9">
        <w:rPr>
          <w:rFonts w:ascii="Gill Sans MT" w:hAnsi="Gill Sans MT" w:cs="Calibri"/>
          <w:bCs/>
          <w:sz w:val="20"/>
        </w:rPr>
        <w:t>La joint venture consentirà a entrambe le società di unire le proprie competenze e risorse per offrire agli inquilini una gamma diversificata di alloggi in affitto di alta qualità, specificamente progettati per soddisfare le mutevoli esigenze del mercato degli affitti.</w:t>
      </w:r>
    </w:p>
    <w:p w14:paraId="219A68C2" w14:textId="77777777" w:rsidR="005B1786" w:rsidRPr="003930EB" w:rsidRDefault="005B1786" w:rsidP="005B1786">
      <w:pPr>
        <w:jc w:val="both"/>
        <w:rPr>
          <w:rFonts w:ascii="Gill Sans MT" w:hAnsi="Gill Sans MT" w:cs="Calibri"/>
          <w:bCs/>
          <w:color w:val="000000" w:themeColor="text1"/>
          <w:sz w:val="20"/>
        </w:rPr>
      </w:pPr>
    </w:p>
    <w:p w14:paraId="25AB1ACC" w14:textId="64A3FBE9" w:rsidR="005B1786" w:rsidRPr="00627AB9" w:rsidRDefault="00627AB9" w:rsidP="005B1786">
      <w:pPr>
        <w:jc w:val="both"/>
        <w:rPr>
          <w:rFonts w:ascii="Gill Sans MT" w:hAnsi="Gill Sans MT" w:cs="Calibri"/>
          <w:bCs/>
          <w:sz w:val="18"/>
          <w:szCs w:val="22"/>
        </w:rPr>
      </w:pPr>
      <w:r w:rsidRPr="00627AB9">
        <w:rPr>
          <w:rFonts w:ascii="Gill Sans MT" w:hAnsi="Gill Sans MT" w:cs="Calibri"/>
          <w:bCs/>
          <w:sz w:val="20"/>
        </w:rPr>
        <w:t xml:space="preserve">Harrison Street è tra gli investitori più attivi nei settori immobiliari alternativi - compresi alloggi per studenti, build-to-rent </w:t>
      </w:r>
      <w:proofErr w:type="spellStart"/>
      <w:r w:rsidRPr="00627AB9">
        <w:rPr>
          <w:rFonts w:ascii="Gill Sans MT" w:hAnsi="Gill Sans MT" w:cs="Calibri"/>
          <w:bCs/>
          <w:sz w:val="20"/>
        </w:rPr>
        <w:t>residenzale</w:t>
      </w:r>
      <w:proofErr w:type="spellEnd"/>
      <w:r w:rsidRPr="00627AB9">
        <w:rPr>
          <w:rFonts w:ascii="Gill Sans MT" w:hAnsi="Gill Sans MT" w:cs="Calibri"/>
          <w:bCs/>
          <w:sz w:val="20"/>
        </w:rPr>
        <w:t xml:space="preserve"> e scienze biologiche - in Europa. Dal lancio della sua strategia europea nel 2015, Harrison Street ha acquisito o sviluppato 87 attività, tra cui oltre 20.900 posti letto per studenti e circa 2,1 milioni di metri quadrati di spazi per le scienze della vita. L'esperienza build-to-rent di Harrison Street in Europa comprende 16 attività per un totale di circa 6.050 unità distribuite tra Regno Unito, Spagna e Irlanda.</w:t>
      </w:r>
    </w:p>
    <w:p w14:paraId="302FCD04" w14:textId="77777777" w:rsidR="005B1786" w:rsidRPr="003930EB" w:rsidRDefault="005B1786" w:rsidP="005B1786">
      <w:pPr>
        <w:jc w:val="both"/>
        <w:rPr>
          <w:rFonts w:ascii="Gill Sans MT" w:hAnsi="Gill Sans MT" w:cs="Calibri"/>
          <w:bCs/>
          <w:color w:val="000000" w:themeColor="text1"/>
          <w:sz w:val="20"/>
        </w:rPr>
      </w:pPr>
    </w:p>
    <w:p w14:paraId="34D8E22E" w14:textId="77777777" w:rsidR="005B1786" w:rsidRPr="003930EB" w:rsidRDefault="005B1786" w:rsidP="005B1786">
      <w:pPr>
        <w:jc w:val="both"/>
        <w:rPr>
          <w:rFonts w:ascii="Gill Sans MT" w:hAnsi="Gill Sans MT" w:cs="Calibri"/>
          <w:bCs/>
          <w:color w:val="000000" w:themeColor="text1"/>
          <w:sz w:val="20"/>
        </w:rPr>
      </w:pPr>
    </w:p>
    <w:p w14:paraId="7F69BC60" w14:textId="1EAD2F87" w:rsidR="005B1786" w:rsidRPr="00E41DDB" w:rsidRDefault="005B1786" w:rsidP="005B1786">
      <w:pPr>
        <w:jc w:val="both"/>
        <w:rPr>
          <w:rFonts w:ascii="Gill Sans MT" w:hAnsi="Gill Sans MT" w:cs="Calibri"/>
          <w:b/>
          <w:bCs/>
          <w:sz w:val="20"/>
        </w:rPr>
      </w:pPr>
      <w:r w:rsidRPr="00E41DDB">
        <w:rPr>
          <w:rFonts w:ascii="Gill Sans MT" w:hAnsi="Gill Sans MT" w:cs="Calibri"/>
          <w:b/>
          <w:bCs/>
          <w:sz w:val="20"/>
        </w:rPr>
        <w:t xml:space="preserve">DeA Capital </w:t>
      </w:r>
    </w:p>
    <w:p w14:paraId="3777E0DE" w14:textId="4CC975EE" w:rsidR="0026689A" w:rsidRPr="00E41DDB" w:rsidRDefault="0026689A" w:rsidP="0026689A">
      <w:pPr>
        <w:jc w:val="both"/>
        <w:rPr>
          <w:rFonts w:ascii="Gill Sans MT" w:hAnsi="Gill Sans MT" w:cs="Calibri"/>
          <w:bCs/>
          <w:sz w:val="20"/>
          <w:u w:val="single"/>
        </w:rPr>
      </w:pPr>
      <w:r w:rsidRPr="0026689A">
        <w:rPr>
          <w:rFonts w:ascii="Gill Sans MT" w:hAnsi="Gill Sans MT" w:cs="Calibri Light"/>
          <w:bCs/>
          <w:i/>
          <w:iCs/>
          <w:sz w:val="18"/>
          <w:szCs w:val="18"/>
        </w:rPr>
        <w:t>DeA Capital S.p.A., controllata da De Agostini S.p.A., è il principale operatore italiano indipendente</w:t>
      </w:r>
      <w:r>
        <w:rPr>
          <w:rFonts w:ascii="Gill Sans MT" w:hAnsi="Gill Sans MT" w:cs="Calibri Light"/>
          <w:bCs/>
          <w:i/>
          <w:iCs/>
          <w:sz w:val="18"/>
          <w:szCs w:val="18"/>
        </w:rPr>
        <w:t xml:space="preserve">, </w:t>
      </w:r>
      <w:r w:rsidRPr="0026689A">
        <w:rPr>
          <w:rFonts w:ascii="Gill Sans MT" w:hAnsi="Gill Sans MT" w:cs="Calibri Light"/>
          <w:bCs/>
          <w:i/>
          <w:iCs/>
          <w:sz w:val="18"/>
          <w:szCs w:val="18"/>
        </w:rPr>
        <w:t>con una significativa presenza paneuropea, nell’Alternative Asset Management (per attivi in gestione), con Combined Assets Under Management</w:t>
      </w:r>
      <w:r w:rsidRPr="0026689A">
        <w:rPr>
          <w:rFonts w:ascii="Gill Sans MT" w:hAnsi="Gill Sans MT" w:cs="Calibri Light"/>
          <w:bCs/>
          <w:i/>
          <w:iCs/>
          <w:sz w:val="18"/>
          <w:szCs w:val="18"/>
          <w:vertAlign w:val="superscript"/>
        </w:rPr>
        <w:t xml:space="preserve"> </w:t>
      </w:r>
      <w:r w:rsidRPr="0026689A">
        <w:rPr>
          <w:rFonts w:ascii="Gill Sans MT" w:hAnsi="Gill Sans MT" w:cs="Calibri Light"/>
          <w:bCs/>
          <w:i/>
          <w:iCs/>
          <w:sz w:val="18"/>
          <w:szCs w:val="18"/>
        </w:rPr>
        <w:t xml:space="preserve">pari a circa 27,7 miliardi di </w:t>
      </w:r>
      <w:proofErr w:type="gramStart"/>
      <w:r w:rsidRPr="0026689A">
        <w:rPr>
          <w:rFonts w:ascii="Gill Sans MT" w:hAnsi="Gill Sans MT" w:cs="Calibri Light"/>
          <w:bCs/>
          <w:i/>
          <w:iCs/>
          <w:sz w:val="18"/>
          <w:szCs w:val="18"/>
        </w:rPr>
        <w:t>Euro</w:t>
      </w:r>
      <w:proofErr w:type="gramEnd"/>
      <w:r w:rsidRPr="0026689A">
        <w:rPr>
          <w:rFonts w:ascii="Gill Sans MT" w:hAnsi="Gill Sans MT" w:cs="Calibri Light"/>
          <w:bCs/>
          <w:i/>
          <w:iCs/>
          <w:sz w:val="18"/>
          <w:szCs w:val="18"/>
        </w:rPr>
        <w:t>. La Piattaforma del Gruppo – concentrata sulle due controllate, DeA Capital Real Estate SGR e DeA Capital Alternative Funds SGR, nonché su Quaestio Capital SGR, di cui è detenuta una quota di maggioranza relativa – è impegnata nella promozione, gestione e valorizzazione di fondi d’investimento nel real estate, nel credit e nel private equity, nonché nelle multi-asset / multi-manager solutions per investitori istituzionali.</w:t>
      </w:r>
      <w:bookmarkStart w:id="3" w:name="_Hlk88400066"/>
      <w:bookmarkStart w:id="4" w:name="_Hlk90644685"/>
      <w:bookmarkStart w:id="5" w:name="_Hlk88400253"/>
      <w:r w:rsidRPr="0026689A">
        <w:rPr>
          <w:rFonts w:ascii="Gill Sans MT" w:hAnsi="Gill Sans MT" w:cs="Calibri Light"/>
          <w:bCs/>
          <w:i/>
          <w:iCs/>
          <w:sz w:val="18"/>
          <w:szCs w:val="18"/>
        </w:rPr>
        <w:t xml:space="preserve"> </w:t>
      </w:r>
      <w:hyperlink r:id="rId10">
        <w:r w:rsidRPr="0026689A">
          <w:rPr>
            <w:rStyle w:val="Collegamentoipertestuale"/>
            <w:rFonts w:ascii="Gill Sans MT" w:hAnsi="Gill Sans MT" w:cs="Calibri"/>
            <w:bCs/>
            <w:color w:val="4472C4" w:themeColor="accent1"/>
            <w:sz w:val="20"/>
          </w:rPr>
          <w:t>https://www.deacapital.com/</w:t>
        </w:r>
      </w:hyperlink>
    </w:p>
    <w:bookmarkEnd w:id="3"/>
    <w:bookmarkEnd w:id="4"/>
    <w:bookmarkEnd w:id="5"/>
    <w:p w14:paraId="449391DB" w14:textId="77777777" w:rsidR="005B1786" w:rsidRPr="003930EB" w:rsidRDefault="005B1786" w:rsidP="005B1786">
      <w:pPr>
        <w:jc w:val="both"/>
        <w:rPr>
          <w:rFonts w:ascii="Gill Sans MT" w:hAnsi="Gill Sans MT" w:cs="Calibri"/>
          <w:bCs/>
          <w:color w:val="000000" w:themeColor="text1"/>
          <w:sz w:val="20"/>
        </w:rPr>
      </w:pPr>
    </w:p>
    <w:p w14:paraId="6C4F55D9" w14:textId="7CA6109B" w:rsidR="005B1786" w:rsidRPr="0026689A" w:rsidRDefault="005B1786" w:rsidP="005B1786">
      <w:pPr>
        <w:jc w:val="both"/>
        <w:rPr>
          <w:rFonts w:ascii="Gill Sans MT" w:hAnsi="Gill Sans MT" w:cs="Calibri"/>
          <w:b/>
          <w:bCs/>
          <w:sz w:val="20"/>
        </w:rPr>
      </w:pPr>
      <w:r w:rsidRPr="0026689A">
        <w:rPr>
          <w:rFonts w:ascii="Gill Sans MT" w:hAnsi="Gill Sans MT" w:cs="Calibri"/>
          <w:b/>
          <w:bCs/>
          <w:sz w:val="20"/>
        </w:rPr>
        <w:t>Harrison Street</w:t>
      </w:r>
    </w:p>
    <w:p w14:paraId="3A9D5720" w14:textId="766F74BF" w:rsidR="005B1786" w:rsidRPr="00C51BB0" w:rsidRDefault="0026689A" w:rsidP="005B1786">
      <w:pPr>
        <w:jc w:val="both"/>
        <w:rPr>
          <w:rFonts w:ascii="Gill Sans MT" w:hAnsi="Gill Sans MT" w:cs="Calibri"/>
          <w:bCs/>
          <w:color w:val="FF0000"/>
          <w:sz w:val="20"/>
        </w:rPr>
      </w:pPr>
      <w:r w:rsidRPr="0026689A">
        <w:rPr>
          <w:rFonts w:ascii="Gill Sans MT" w:hAnsi="Gill Sans MT" w:cs="Calibri Light"/>
          <w:bCs/>
          <w:i/>
          <w:iCs/>
          <w:sz w:val="18"/>
          <w:szCs w:val="18"/>
        </w:rPr>
        <w:t xml:space="preserve">Harrison Street è una delle principali società di gestione degli investimenti focalizzata esclusivamente su asset reali alternativi. Sin dall'inizio, nel 2005, la società ha creato una serie di soluzioni d'investimento differenziate, incentrate su </w:t>
      </w:r>
      <w:proofErr w:type="spellStart"/>
      <w:r w:rsidRPr="0026689A">
        <w:rPr>
          <w:rFonts w:ascii="Gill Sans MT" w:hAnsi="Gill Sans MT" w:cs="Calibri Light"/>
          <w:bCs/>
          <w:i/>
          <w:iCs/>
          <w:sz w:val="18"/>
          <w:szCs w:val="18"/>
        </w:rPr>
        <w:t>demographic-driven</w:t>
      </w:r>
      <w:proofErr w:type="spellEnd"/>
      <w:r w:rsidRPr="0026689A">
        <w:rPr>
          <w:rFonts w:ascii="Gill Sans MT" w:hAnsi="Gill Sans MT" w:cs="Calibri Light"/>
          <w:bCs/>
          <w:i/>
          <w:iCs/>
          <w:sz w:val="18"/>
          <w:szCs w:val="18"/>
        </w:rPr>
        <w:t xml:space="preserve">, </w:t>
      </w:r>
      <w:proofErr w:type="spellStart"/>
      <w:r w:rsidRPr="0026689A">
        <w:rPr>
          <w:rFonts w:ascii="Gill Sans MT" w:hAnsi="Gill Sans MT" w:cs="Calibri Light"/>
          <w:bCs/>
          <w:i/>
          <w:iCs/>
          <w:sz w:val="18"/>
          <w:szCs w:val="18"/>
        </w:rPr>
        <w:t>needs-based</w:t>
      </w:r>
      <w:proofErr w:type="spellEnd"/>
      <w:r w:rsidRPr="0026689A">
        <w:rPr>
          <w:rFonts w:ascii="Gill Sans MT" w:hAnsi="Gill Sans MT" w:cs="Calibri Light"/>
          <w:bCs/>
          <w:i/>
          <w:iCs/>
          <w:sz w:val="18"/>
          <w:szCs w:val="18"/>
        </w:rPr>
        <w:t xml:space="preserve"> assets</w:t>
      </w:r>
      <w:proofErr w:type="gramStart"/>
      <w:r w:rsidRPr="0026689A">
        <w:rPr>
          <w:rFonts w:ascii="Gill Sans MT" w:hAnsi="Gill Sans MT" w:cs="Calibri Light"/>
          <w:bCs/>
          <w:i/>
          <w:iCs/>
          <w:sz w:val="18"/>
          <w:szCs w:val="18"/>
        </w:rPr>
        <w:t>. .</w:t>
      </w:r>
      <w:proofErr w:type="gramEnd"/>
      <w:r w:rsidRPr="0026689A">
        <w:rPr>
          <w:rFonts w:ascii="Gill Sans MT" w:hAnsi="Gill Sans MT" w:cs="Calibri Light"/>
          <w:bCs/>
          <w:i/>
          <w:iCs/>
          <w:sz w:val="18"/>
          <w:szCs w:val="18"/>
        </w:rPr>
        <w:t xml:space="preserve"> La società ha investito in alloggi per anziani, alloggi per studenti, servizi sanitari, scienze della vita e immobili di stoccaggio, nonché in infrastrutture sociali e di pubblica utilità. Con sede centrale a Chicago e Londra e uffici in tutto il Nord America, Europa e Asia, la società ha oltre 260 dipendenti e circa 56 miliardi di dollari di asset under management. Tra i clienti dello studio c'è una base di investitori istituzionali globali con sede in Nord America, Europa, Medio Oriente, Asia e America Latina. Harrison Street è stata premiata come Best Places to Work da </w:t>
      </w:r>
      <w:proofErr w:type="spellStart"/>
      <w:r w:rsidRPr="0026689A">
        <w:rPr>
          <w:rFonts w:ascii="Gill Sans MT" w:hAnsi="Gill Sans MT" w:cs="Calibri Light"/>
          <w:bCs/>
          <w:i/>
          <w:iCs/>
          <w:sz w:val="18"/>
          <w:szCs w:val="18"/>
        </w:rPr>
        <w:t>Pensions</w:t>
      </w:r>
      <w:proofErr w:type="spellEnd"/>
      <w:r w:rsidRPr="0026689A">
        <w:rPr>
          <w:rFonts w:ascii="Gill Sans MT" w:hAnsi="Gill Sans MT" w:cs="Calibri Light"/>
          <w:bCs/>
          <w:i/>
          <w:iCs/>
          <w:sz w:val="18"/>
          <w:szCs w:val="18"/>
        </w:rPr>
        <w:t xml:space="preserve"> &amp; Investments per otto anni (2014-2020, 2022) e ha ottenuto diversi riconoscimenti da PRER, tra cui cinque per i premi 2022: Investitore alternativo dell'anno - Globale, Figura industriale dell'anno - Globale, Investitore residenziale dell'anno - Globale, Investitore di data center dell'anno - Globale e Investitore residenziale dell'anno - Nord America.</w:t>
      </w:r>
      <w:r w:rsidR="005B1786" w:rsidRPr="0026689A">
        <w:rPr>
          <w:rFonts w:ascii="Gill Sans MT" w:hAnsi="Gill Sans MT" w:cs="Calibri"/>
          <w:bCs/>
          <w:sz w:val="20"/>
        </w:rPr>
        <w:t xml:space="preserve"> </w:t>
      </w:r>
      <w:hyperlink r:id="rId11">
        <w:r w:rsidR="005B1786" w:rsidRPr="0026689A">
          <w:rPr>
            <w:rStyle w:val="Collegamentoipertestuale"/>
            <w:rFonts w:ascii="Gill Sans MT" w:hAnsi="Gill Sans MT" w:cs="Calibri"/>
            <w:bCs/>
            <w:color w:val="4472C4" w:themeColor="accent1"/>
            <w:sz w:val="20"/>
          </w:rPr>
          <w:t>www.harrisonst.com</w:t>
        </w:r>
      </w:hyperlink>
    </w:p>
    <w:p w14:paraId="30E09113" w14:textId="412432AD" w:rsidR="005B1786" w:rsidRDefault="005B1786" w:rsidP="00E662A7">
      <w:pPr>
        <w:jc w:val="both"/>
        <w:rPr>
          <w:rFonts w:ascii="Gill Sans MT" w:hAnsi="Gill Sans MT" w:cs="Calibri"/>
          <w:bCs/>
          <w:i/>
          <w:iCs/>
          <w:sz w:val="20"/>
        </w:rPr>
      </w:pPr>
    </w:p>
    <w:p w14:paraId="463ECF75" w14:textId="77777777" w:rsidR="005B1786" w:rsidRDefault="005B1786" w:rsidP="00E662A7">
      <w:pPr>
        <w:jc w:val="both"/>
        <w:rPr>
          <w:rFonts w:ascii="Gill Sans MT" w:hAnsi="Gill Sans MT" w:cs="Calibri"/>
          <w:bCs/>
          <w:i/>
          <w:iCs/>
          <w:sz w:val="20"/>
        </w:rPr>
      </w:pPr>
    </w:p>
    <w:p w14:paraId="59C657FA" w14:textId="77777777" w:rsidR="00E662A7" w:rsidRDefault="00E662A7" w:rsidP="00E662A7">
      <w:pPr>
        <w:jc w:val="both"/>
        <w:rPr>
          <w:rFonts w:ascii="Gill Sans MT" w:eastAsia="Arial Unicode MS" w:hAnsi="Gill Sans MT" w:cs="Arial"/>
          <w:bCs/>
          <w:sz w:val="18"/>
          <w:szCs w:val="22"/>
        </w:rPr>
      </w:pPr>
    </w:p>
    <w:p w14:paraId="2929F241" w14:textId="77777777" w:rsidR="00E662A7" w:rsidRPr="00B81B8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 xml:space="preserve">Per ulteriori informazioni: </w:t>
      </w:r>
    </w:p>
    <w:p w14:paraId="493F78AF" w14:textId="77777777" w:rsidR="00E662A7" w:rsidRPr="00B81B8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Comunicazione e Ufficio Stampa DeA Capital S.p.A.</w:t>
      </w:r>
    </w:p>
    <w:p w14:paraId="2305BFF2" w14:textId="77777777" w:rsidR="00E662A7" w:rsidRPr="00B81B8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 xml:space="preserve">Marco Scopigno, </w:t>
      </w:r>
      <w:hyperlink r:id="rId12" w:history="1">
        <w:r w:rsidRPr="007530DD">
          <w:rPr>
            <w:rStyle w:val="Collegamentoipertestuale"/>
            <w:rFonts w:ascii="Gill Sans MT" w:eastAsia="Arial Unicode MS" w:hAnsi="Gill Sans MT" w:cs="Arial"/>
            <w:bCs/>
            <w:sz w:val="18"/>
            <w:szCs w:val="22"/>
          </w:rPr>
          <w:t>marco.scopigno@deacapital.com</w:t>
        </w:r>
      </w:hyperlink>
      <w:r w:rsidRPr="00B81B87">
        <w:rPr>
          <w:rFonts w:ascii="Gill Sans MT" w:eastAsia="Arial Unicode MS" w:hAnsi="Gill Sans MT" w:cs="Arial"/>
          <w:bCs/>
          <w:sz w:val="18"/>
          <w:szCs w:val="22"/>
        </w:rPr>
        <w:t>,</w:t>
      </w:r>
    </w:p>
    <w:p w14:paraId="2EA16FBF" w14:textId="77777777" w:rsidR="00E662A7" w:rsidRPr="00B81B8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Tel. +39 06 68163206 / 348 0173826</w:t>
      </w:r>
    </w:p>
    <w:p w14:paraId="0248BB25" w14:textId="77777777" w:rsidR="00E662A7" w:rsidRDefault="00E662A7" w:rsidP="00E662A7">
      <w:pPr>
        <w:jc w:val="both"/>
        <w:rPr>
          <w:rFonts w:ascii="Gill Sans MT" w:eastAsia="Arial Unicode MS" w:hAnsi="Gill Sans MT" w:cs="Arial"/>
          <w:bCs/>
          <w:sz w:val="18"/>
          <w:szCs w:val="22"/>
        </w:rPr>
      </w:pPr>
      <w:r>
        <w:rPr>
          <w:rFonts w:ascii="Gill Sans MT" w:eastAsia="Arial Unicode MS" w:hAnsi="Gill Sans MT" w:cs="Arial"/>
          <w:bCs/>
          <w:sz w:val="18"/>
          <w:szCs w:val="22"/>
        </w:rPr>
        <w:t xml:space="preserve">Anna Majocchi, </w:t>
      </w:r>
      <w:hyperlink r:id="rId13" w:history="1">
        <w:r w:rsidRPr="007F468F">
          <w:rPr>
            <w:rStyle w:val="Collegamentoipertestuale"/>
            <w:rFonts w:ascii="Gill Sans MT" w:eastAsia="Arial Unicode MS" w:hAnsi="Gill Sans MT" w:cs="Arial"/>
            <w:bCs/>
            <w:sz w:val="18"/>
            <w:szCs w:val="22"/>
          </w:rPr>
          <w:t>anna.majocchi@deacapital.com</w:t>
        </w:r>
      </w:hyperlink>
    </w:p>
    <w:p w14:paraId="3B403C3B" w14:textId="77777777" w:rsidR="00E662A7" w:rsidRDefault="00E662A7" w:rsidP="00E662A7">
      <w:pPr>
        <w:jc w:val="both"/>
        <w:rPr>
          <w:rFonts w:ascii="Gill Sans MT" w:eastAsia="Arial Unicode MS" w:hAnsi="Gill Sans MT" w:cs="Arial"/>
          <w:bCs/>
          <w:sz w:val="18"/>
          <w:szCs w:val="22"/>
        </w:rPr>
      </w:pPr>
      <w:r>
        <w:rPr>
          <w:rFonts w:ascii="Gill Sans MT" w:eastAsia="Arial Unicode MS" w:hAnsi="Gill Sans MT" w:cs="Arial"/>
          <w:bCs/>
          <w:sz w:val="18"/>
          <w:szCs w:val="22"/>
        </w:rPr>
        <w:t>Tel. +39 02 62499529 /335 7616715</w:t>
      </w:r>
    </w:p>
    <w:p w14:paraId="2A536958" w14:textId="77777777" w:rsidR="00E662A7" w:rsidRPr="00B81B8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Comunicazione e Stampa DeA Capital Real Estate SGR S.p.A.</w:t>
      </w:r>
    </w:p>
    <w:p w14:paraId="5CFD3181" w14:textId="77777777" w:rsidR="00E662A7" w:rsidRDefault="00E662A7" w:rsidP="00E662A7">
      <w:pPr>
        <w:jc w:val="both"/>
        <w:rPr>
          <w:rFonts w:ascii="Gill Sans MT" w:eastAsia="Arial Unicode MS" w:hAnsi="Gill Sans MT" w:cs="Arial"/>
          <w:bCs/>
          <w:sz w:val="18"/>
          <w:szCs w:val="22"/>
        </w:rPr>
      </w:pPr>
      <w:r w:rsidRPr="00B81B87">
        <w:rPr>
          <w:rFonts w:ascii="Gill Sans MT" w:eastAsia="Arial Unicode MS" w:hAnsi="Gill Sans MT" w:cs="Arial"/>
          <w:bCs/>
          <w:sz w:val="18"/>
          <w:szCs w:val="22"/>
        </w:rPr>
        <w:t xml:space="preserve">Beatrice Mori, </w:t>
      </w:r>
      <w:hyperlink r:id="rId14" w:history="1">
        <w:r w:rsidRPr="007F468F">
          <w:rPr>
            <w:rStyle w:val="Collegamentoipertestuale"/>
            <w:rFonts w:ascii="Gill Sans MT" w:eastAsia="Arial Unicode MS" w:hAnsi="Gill Sans MT" w:cs="Arial"/>
            <w:bCs/>
            <w:sz w:val="18"/>
            <w:szCs w:val="22"/>
          </w:rPr>
          <w:t>beatrice.mori@deacapital.com</w:t>
        </w:r>
      </w:hyperlink>
    </w:p>
    <w:p w14:paraId="78610836" w14:textId="77777777" w:rsidR="00E662A7" w:rsidRDefault="00E662A7" w:rsidP="00E662A7">
      <w:pPr>
        <w:jc w:val="both"/>
        <w:rPr>
          <w:rFonts w:ascii="Gill Sans MT" w:eastAsia="Arial Unicode MS" w:hAnsi="Gill Sans MT" w:cs="Arial"/>
          <w:bCs/>
          <w:sz w:val="18"/>
          <w:szCs w:val="22"/>
        </w:rPr>
      </w:pPr>
    </w:p>
    <w:bookmarkEnd w:id="0"/>
    <w:bookmarkEnd w:id="1"/>
    <w:p w14:paraId="295FF1CA" w14:textId="09AC392B" w:rsidR="00A85E73" w:rsidRDefault="00A85E73" w:rsidP="00E7798C">
      <w:pPr>
        <w:jc w:val="both"/>
        <w:rPr>
          <w:rFonts w:ascii="Gill Sans MT" w:eastAsia="Arial Unicode MS" w:hAnsi="Gill Sans MT" w:cs="Arial"/>
          <w:bCs/>
          <w:sz w:val="18"/>
          <w:szCs w:val="22"/>
        </w:rPr>
      </w:pPr>
    </w:p>
    <w:p w14:paraId="000DFEB8" w14:textId="77777777" w:rsidR="00A85E73" w:rsidRDefault="00A85E73" w:rsidP="00E7798C">
      <w:pPr>
        <w:jc w:val="both"/>
        <w:rPr>
          <w:rFonts w:ascii="Gill Sans MT" w:eastAsia="Arial Unicode MS" w:hAnsi="Gill Sans MT" w:cs="Arial"/>
          <w:bCs/>
          <w:sz w:val="18"/>
          <w:szCs w:val="22"/>
        </w:rPr>
      </w:pPr>
    </w:p>
    <w:sectPr w:rsidR="00A85E73" w:rsidSect="00F62956">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155" w:right="1418" w:bottom="2268" w:left="1418"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31594" w14:textId="77777777" w:rsidR="00215E75" w:rsidRDefault="00215E75" w:rsidP="007606BC">
      <w:r>
        <w:separator/>
      </w:r>
    </w:p>
    <w:p w14:paraId="117FABAE" w14:textId="77777777" w:rsidR="00215E75" w:rsidRDefault="00215E75"/>
  </w:endnote>
  <w:endnote w:type="continuationSeparator" w:id="0">
    <w:p w14:paraId="4E765317" w14:textId="77777777" w:rsidR="00215E75" w:rsidRDefault="00215E75" w:rsidP="007606BC">
      <w:r>
        <w:continuationSeparator/>
      </w:r>
    </w:p>
    <w:p w14:paraId="2C5E76F1" w14:textId="77777777" w:rsidR="00215E75" w:rsidRDefault="00215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24421710"/>
      <w:docPartObj>
        <w:docPartGallery w:val="Page Numbers (Bottom of Page)"/>
        <w:docPartUnique/>
      </w:docPartObj>
    </w:sdtPr>
    <w:sdtContent>
      <w:p w14:paraId="1220E67F" w14:textId="4A3B2747" w:rsidR="006961A9" w:rsidRDefault="006961A9" w:rsidP="0092542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79F377F" w14:textId="77777777" w:rsidR="006961A9" w:rsidRDefault="006961A9" w:rsidP="006961A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Gill Sans MT" w:hAnsi="Gill Sans MT"/>
        <w:color w:val="002E63"/>
        <w:sz w:val="13"/>
        <w:szCs w:val="13"/>
      </w:rPr>
      <w:id w:val="987904071"/>
      <w:docPartObj>
        <w:docPartGallery w:val="Page Numbers (Bottom of Page)"/>
        <w:docPartUnique/>
      </w:docPartObj>
    </w:sdtPr>
    <w:sdtContent>
      <w:p w14:paraId="180E9257" w14:textId="77777777" w:rsidR="006961A9" w:rsidRPr="005F2AF3" w:rsidRDefault="006961A9" w:rsidP="00C6090D">
        <w:pPr>
          <w:pStyle w:val="Pidipagina"/>
          <w:framePr w:w="373" w:wrap="none" w:vAnchor="text" w:hAnchor="page" w:x="9874" w:y="-1239"/>
          <w:jc w:val="center"/>
          <w:rPr>
            <w:rStyle w:val="Numeropagina"/>
            <w:rFonts w:ascii="Gill Sans MT" w:hAnsi="Gill Sans MT"/>
            <w:color w:val="002E63"/>
            <w:sz w:val="13"/>
            <w:szCs w:val="13"/>
          </w:rPr>
        </w:pPr>
        <w:r w:rsidRPr="005F2AF3">
          <w:rPr>
            <w:rStyle w:val="Numeropagina"/>
            <w:rFonts w:ascii="Gill Sans MT" w:hAnsi="Gill Sans MT"/>
            <w:color w:val="002E63"/>
            <w:sz w:val="13"/>
            <w:szCs w:val="13"/>
          </w:rPr>
          <w:fldChar w:fldCharType="begin"/>
        </w:r>
        <w:r w:rsidRPr="005F2AF3">
          <w:rPr>
            <w:rStyle w:val="Numeropagina"/>
            <w:rFonts w:ascii="Gill Sans MT" w:hAnsi="Gill Sans MT"/>
            <w:color w:val="002E63"/>
            <w:sz w:val="13"/>
            <w:szCs w:val="13"/>
          </w:rPr>
          <w:instrText xml:space="preserve"> PAGE </w:instrText>
        </w:r>
        <w:r w:rsidRPr="005F2AF3">
          <w:rPr>
            <w:rStyle w:val="Numeropagina"/>
            <w:rFonts w:ascii="Gill Sans MT" w:hAnsi="Gill Sans MT"/>
            <w:color w:val="002E63"/>
            <w:sz w:val="13"/>
            <w:szCs w:val="13"/>
          </w:rPr>
          <w:fldChar w:fldCharType="separate"/>
        </w:r>
        <w:r w:rsidRPr="005F2AF3">
          <w:rPr>
            <w:rStyle w:val="Numeropagina"/>
            <w:rFonts w:ascii="Gill Sans MT" w:hAnsi="Gill Sans MT"/>
            <w:noProof/>
            <w:color w:val="002E63"/>
            <w:sz w:val="13"/>
            <w:szCs w:val="13"/>
          </w:rPr>
          <w:t>2</w:t>
        </w:r>
        <w:r w:rsidRPr="005F2AF3">
          <w:rPr>
            <w:rStyle w:val="Numeropagina"/>
            <w:rFonts w:ascii="Gill Sans MT" w:hAnsi="Gill Sans MT"/>
            <w:color w:val="002E63"/>
            <w:sz w:val="13"/>
            <w:szCs w:val="13"/>
          </w:rPr>
          <w:fldChar w:fldCharType="end"/>
        </w:r>
      </w:p>
    </w:sdtContent>
  </w:sdt>
  <w:p w14:paraId="14E28329" w14:textId="2FE7336D" w:rsidR="00F9687D" w:rsidRPr="00C25BBE" w:rsidRDefault="00113684" w:rsidP="005F2AF3">
    <w:pPr>
      <w:pStyle w:val="Testonormale"/>
      <w:tabs>
        <w:tab w:val="left" w:pos="3402"/>
        <w:tab w:val="left" w:pos="6804"/>
      </w:tabs>
      <w:ind w:left="-426" w:right="360"/>
      <w:jc w:val="center"/>
      <w:rPr>
        <w:color w:val="002E63"/>
      </w:rPr>
    </w:pPr>
    <w:r>
      <w:rPr>
        <w:rFonts w:ascii="Verdana" w:hAnsi="Verdana"/>
        <w:noProof/>
        <w:color w:val="002E63"/>
      </w:rPr>
      <mc:AlternateContent>
        <mc:Choice Requires="wps">
          <w:drawing>
            <wp:anchor distT="0" distB="0" distL="114300" distR="114300" simplePos="0" relativeHeight="251662336" behindDoc="0" locked="0" layoutInCell="1" allowOverlap="1" wp14:anchorId="746527E8" wp14:editId="23E4FBE3">
              <wp:simplePos x="0" y="0"/>
              <wp:positionH relativeFrom="column">
                <wp:posOffset>-156511</wp:posOffset>
              </wp:positionH>
              <wp:positionV relativeFrom="paragraph">
                <wp:posOffset>-409048</wp:posOffset>
              </wp:positionV>
              <wp:extent cx="5925185" cy="751668"/>
              <wp:effectExtent l="0" t="0" r="0" b="0"/>
              <wp:wrapNone/>
              <wp:docPr id="17" name="Casella di testo 17"/>
              <wp:cNvGraphicFramePr/>
              <a:graphic xmlns:a="http://schemas.openxmlformats.org/drawingml/2006/main">
                <a:graphicData uri="http://schemas.microsoft.com/office/word/2010/wordprocessingShape">
                  <wps:wsp>
                    <wps:cNvSpPr txBox="1"/>
                    <wps:spPr>
                      <a:xfrm>
                        <a:off x="0" y="0"/>
                        <a:ext cx="5925185" cy="751668"/>
                      </a:xfrm>
                      <a:prstGeom prst="rect">
                        <a:avLst/>
                      </a:prstGeom>
                      <a:noFill/>
                      <a:ln w="6350">
                        <a:noFill/>
                      </a:ln>
                    </wps:spPr>
                    <wps:txb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w:t>
                          </w:r>
                          <w:proofErr w:type="gramStart"/>
                          <w:r w:rsidRPr="00113684">
                            <w:rPr>
                              <w:rFonts w:ascii="Gill Sans MT" w:hAnsi="Gill Sans MT"/>
                              <w:color w:val="002E63"/>
                              <w:sz w:val="15"/>
                              <w:szCs w:val="15"/>
                            </w:rPr>
                            <w:t>39  06</w:t>
                          </w:r>
                          <w:proofErr w:type="gramEnd"/>
                          <w:r w:rsidRPr="00113684">
                            <w:rPr>
                              <w:rFonts w:ascii="Gill Sans MT" w:hAnsi="Gill Sans MT"/>
                              <w:color w:val="002E63"/>
                              <w:sz w:val="15"/>
                              <w:szCs w:val="15"/>
                            </w:rPr>
                            <w:t xml:space="preserve">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27E8" id="_x0000_t202" coordsize="21600,21600" o:spt="202" path="m,l,21600r21600,l21600,xe">
              <v:stroke joinstyle="miter"/>
              <v:path gradientshapeok="t" o:connecttype="rect"/>
            </v:shapetype>
            <v:shape id="Casella di testo 17" o:spid="_x0000_s1026" type="#_x0000_t202" style="position:absolute;left:0;text-align:left;margin-left:-12.3pt;margin-top:-32.2pt;width:466.55pt;height:5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" filled="f" stroked="f" strokeweight=".5pt">
              <v:textbox>
                <w:txbxContent>
                  <w:p w14:paraId="503EFF0A"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DeA Capital Real Estate SGR S.p.A. Sede Legale via Mercadante 18, 00198 Roma, Italia - T. +39  06 681631, F. +39 06 68192090</w:t>
                    </w:r>
                  </w:p>
                  <w:p w14:paraId="1BCB0B29"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Sede di Milano via Brera 21, 20121 Milano, Italia, T. +39 02 725171, F. +39 02 72021939</w:t>
                    </w:r>
                  </w:p>
                  <w:p w14:paraId="5777E648"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Società iscritta al n. 18 dell’Albo dei Gestori di FIA di Banca d’Italia, Capitale Sociale euro 16.757.556,96</w:t>
                    </w:r>
                  </w:p>
                  <w:p w14:paraId="2DCA2F73" w14:textId="77777777" w:rsidR="00113684" w:rsidRPr="00113684" w:rsidRDefault="00113684" w:rsidP="00113684">
                    <w:pPr>
                      <w:pStyle w:val="Testonormale"/>
                      <w:tabs>
                        <w:tab w:val="left" w:pos="3402"/>
                        <w:tab w:val="left" w:pos="6804"/>
                      </w:tabs>
                      <w:jc w:val="center"/>
                      <w:rPr>
                        <w:rFonts w:ascii="Gill Sans MT" w:hAnsi="Gill Sans MT"/>
                        <w:color w:val="002E63"/>
                        <w:sz w:val="15"/>
                        <w:szCs w:val="15"/>
                      </w:rPr>
                    </w:pPr>
                    <w:r w:rsidRPr="00113684">
                      <w:rPr>
                        <w:rFonts w:ascii="Gill Sans MT" w:hAnsi="Gill Sans MT"/>
                        <w:color w:val="002E63"/>
                        <w:sz w:val="15"/>
                        <w:szCs w:val="15"/>
                      </w:rPr>
                      <w:t>Codice fiscale e Partita IVA n. 05553101006, REA n. 898431 - www.deacapitalre.com</w:t>
                    </w:r>
                  </w:p>
                  <w:p w14:paraId="3B32EC1B" w14:textId="408B19B5" w:rsidR="00F62956" w:rsidRPr="006806E5" w:rsidRDefault="00113684" w:rsidP="00113684">
                    <w:pPr>
                      <w:pStyle w:val="Testonormale"/>
                      <w:tabs>
                        <w:tab w:val="left" w:pos="3402"/>
                        <w:tab w:val="left" w:pos="6804"/>
                      </w:tabs>
                      <w:jc w:val="center"/>
                      <w:rPr>
                        <w:rFonts w:ascii="Gill Sans MT" w:hAnsi="Gill Sans MT"/>
                        <w:color w:val="002E63"/>
                      </w:rPr>
                    </w:pPr>
                    <w:r w:rsidRPr="00113684">
                      <w:rPr>
                        <w:rFonts w:ascii="Gill Sans MT" w:hAnsi="Gill Sans MT"/>
                        <w:color w:val="002E63"/>
                        <w:sz w:val="15"/>
                        <w:szCs w:val="15"/>
                      </w:rPr>
                      <w:t>Sistema di Gestione della Qualità ISO 9001:2015 certificato da DNV GL</w:t>
                    </w:r>
                  </w:p>
                </w:txbxContent>
              </v:textbox>
            </v:shape>
          </w:pict>
        </mc:Fallback>
      </mc:AlternateContent>
    </w:r>
    <w:r w:rsidR="00C6090D">
      <w:rPr>
        <w:rFonts w:ascii="Verdana" w:hAnsi="Verdana"/>
        <w:noProof/>
        <w:color w:val="002E63"/>
      </w:rPr>
      <w:drawing>
        <wp:anchor distT="0" distB="0" distL="114300" distR="114300" simplePos="0" relativeHeight="251667456" behindDoc="1" locked="0" layoutInCell="1" allowOverlap="1" wp14:anchorId="736CE3E8" wp14:editId="027C6D17">
          <wp:simplePos x="0" y="0"/>
          <wp:positionH relativeFrom="margin">
            <wp:align>center</wp:align>
          </wp:positionH>
          <wp:positionV relativeFrom="paragraph">
            <wp:posOffset>-749300</wp:posOffset>
          </wp:positionV>
          <wp:extent cx="5759450" cy="164465"/>
          <wp:effectExtent l="0" t="0" r="6350" b="63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pic:cNvPicPr/>
                </pic:nvPicPr>
                <pic:blipFill>
                  <a:blip r:embed="rId1">
                    <a:extLst>
                      <a:ext uri="{28A0092B-C50C-407E-A947-70E740481C1C}">
                        <a14:useLocalDpi xmlns:a14="http://schemas.microsoft.com/office/drawing/2010/main" val="0"/>
                      </a:ext>
                    </a:extLst>
                  </a:blip>
                  <a:stretch>
                    <a:fillRect/>
                  </a:stretch>
                </pic:blipFill>
                <pic:spPr>
                  <a:xfrm>
                    <a:off x="0" y="0"/>
                    <a:ext cx="5759450" cy="1644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82F4" w14:textId="77777777" w:rsidR="003930EB" w:rsidRDefault="003930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5B80" w14:textId="77777777" w:rsidR="00215E75" w:rsidRDefault="00215E75" w:rsidP="007606BC">
      <w:r>
        <w:separator/>
      </w:r>
    </w:p>
    <w:p w14:paraId="0C0D3BFC" w14:textId="77777777" w:rsidR="00215E75" w:rsidRDefault="00215E75"/>
  </w:footnote>
  <w:footnote w:type="continuationSeparator" w:id="0">
    <w:p w14:paraId="37C05FB8" w14:textId="77777777" w:rsidR="00215E75" w:rsidRDefault="00215E75" w:rsidP="007606BC">
      <w:r>
        <w:continuationSeparator/>
      </w:r>
    </w:p>
    <w:p w14:paraId="6A24DB9A" w14:textId="77777777" w:rsidR="00215E75" w:rsidRDefault="00215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2582" w14:textId="77777777" w:rsidR="003930EB" w:rsidRDefault="003930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9DF7" w14:textId="3DE4F969" w:rsidR="007606BC" w:rsidRDefault="009901D9">
    <w:pPr>
      <w:pStyle w:val="Intestazione"/>
    </w:pPr>
    <w:r w:rsidRPr="00AD115F">
      <w:rPr>
        <w:rFonts w:ascii="Gill Sans MT" w:hAnsi="Gill Sans MT"/>
        <w:noProof/>
        <w:sz w:val="22"/>
      </w:rPr>
      <w:drawing>
        <wp:anchor distT="0" distB="0" distL="114300" distR="114300" simplePos="0" relativeHeight="251659264" behindDoc="0" locked="0" layoutInCell="1" allowOverlap="1" wp14:anchorId="2810272D" wp14:editId="06220DB2">
          <wp:simplePos x="0" y="0"/>
          <wp:positionH relativeFrom="margin">
            <wp:align>center</wp:align>
          </wp:positionH>
          <wp:positionV relativeFrom="margin">
            <wp:posOffset>-936625</wp:posOffset>
          </wp:positionV>
          <wp:extent cx="1637665" cy="868680"/>
          <wp:effectExtent l="0" t="0" r="0" b="0"/>
          <wp:wrapSquare wrapText="bothSides"/>
          <wp:docPr id="13"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magine 1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766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2AF3">
      <w:rPr>
        <w:rFonts w:ascii="Gill Sans MT" w:hAnsi="Gill Sans MT"/>
        <w:noProof/>
        <w:sz w:val="22"/>
      </w:rPr>
      <w:drawing>
        <wp:anchor distT="0" distB="0" distL="114300" distR="114300" simplePos="0" relativeHeight="251666432" behindDoc="1" locked="0" layoutInCell="1" allowOverlap="1" wp14:anchorId="587E4C10" wp14:editId="121170CB">
          <wp:simplePos x="0" y="0"/>
          <wp:positionH relativeFrom="margin">
            <wp:align>center</wp:align>
          </wp:positionH>
          <wp:positionV relativeFrom="paragraph">
            <wp:posOffset>-205213</wp:posOffset>
          </wp:positionV>
          <wp:extent cx="5760000" cy="142889"/>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2">
                    <a:extLst>
                      <a:ext uri="{28A0092B-C50C-407E-A947-70E740481C1C}">
                        <a14:useLocalDpi xmlns:a14="http://schemas.microsoft.com/office/drawing/2010/main" val="0"/>
                      </a:ext>
                    </a:extLst>
                  </a:blip>
                  <a:stretch>
                    <a:fillRect/>
                  </a:stretch>
                </pic:blipFill>
                <pic:spPr>
                  <a:xfrm>
                    <a:off x="0" y="0"/>
                    <a:ext cx="5760000" cy="14288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A2B" w14:textId="77777777" w:rsidR="003930EB" w:rsidRDefault="003930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20E"/>
    <w:multiLevelType w:val="hybridMultilevel"/>
    <w:tmpl w:val="29BEE41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6D714EF"/>
    <w:multiLevelType w:val="hybridMultilevel"/>
    <w:tmpl w:val="36C20696"/>
    <w:lvl w:ilvl="0" w:tplc="04090001">
      <w:start w:val="1"/>
      <w:numFmt w:val="bullet"/>
      <w:lvlText w:val=""/>
      <w:lvlJc w:val="left"/>
      <w:pPr>
        <w:ind w:left="2345" w:hanging="360"/>
      </w:pPr>
      <w:rPr>
        <w:rFonts w:ascii="Symbol" w:hAnsi="Symbol" w:hint="default"/>
        <w:color w:val="auto"/>
        <w:sz w:val="20"/>
      </w:rPr>
    </w:lvl>
    <w:lvl w:ilvl="1" w:tplc="04100003">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958" w:hanging="360"/>
      </w:pPr>
      <w:rPr>
        <w:rFonts w:ascii="Wingdings" w:hAnsi="Wingdings" w:hint="default"/>
      </w:rPr>
    </w:lvl>
    <w:lvl w:ilvl="3" w:tplc="04100001" w:tentative="1">
      <w:start w:val="1"/>
      <w:numFmt w:val="bullet"/>
      <w:lvlText w:val=""/>
      <w:lvlJc w:val="left"/>
      <w:pPr>
        <w:ind w:left="-238" w:hanging="360"/>
      </w:pPr>
      <w:rPr>
        <w:rFonts w:ascii="Symbol" w:hAnsi="Symbol" w:hint="default"/>
      </w:rPr>
    </w:lvl>
    <w:lvl w:ilvl="4" w:tplc="04100003" w:tentative="1">
      <w:start w:val="1"/>
      <w:numFmt w:val="bullet"/>
      <w:lvlText w:val="o"/>
      <w:lvlJc w:val="left"/>
      <w:pPr>
        <w:ind w:left="482" w:hanging="360"/>
      </w:pPr>
      <w:rPr>
        <w:rFonts w:ascii="Courier New" w:hAnsi="Courier New" w:cs="Courier New" w:hint="default"/>
      </w:rPr>
    </w:lvl>
    <w:lvl w:ilvl="5" w:tplc="04100005" w:tentative="1">
      <w:start w:val="1"/>
      <w:numFmt w:val="bullet"/>
      <w:lvlText w:val=""/>
      <w:lvlJc w:val="left"/>
      <w:pPr>
        <w:ind w:left="1202" w:hanging="360"/>
      </w:pPr>
      <w:rPr>
        <w:rFonts w:ascii="Wingdings" w:hAnsi="Wingdings" w:hint="default"/>
      </w:rPr>
    </w:lvl>
    <w:lvl w:ilvl="6" w:tplc="04100001" w:tentative="1">
      <w:start w:val="1"/>
      <w:numFmt w:val="bullet"/>
      <w:lvlText w:val=""/>
      <w:lvlJc w:val="left"/>
      <w:pPr>
        <w:ind w:left="1922" w:hanging="360"/>
      </w:pPr>
      <w:rPr>
        <w:rFonts w:ascii="Symbol" w:hAnsi="Symbol" w:hint="default"/>
      </w:rPr>
    </w:lvl>
    <w:lvl w:ilvl="7" w:tplc="04100003" w:tentative="1">
      <w:start w:val="1"/>
      <w:numFmt w:val="bullet"/>
      <w:lvlText w:val="o"/>
      <w:lvlJc w:val="left"/>
      <w:pPr>
        <w:ind w:left="2642" w:hanging="360"/>
      </w:pPr>
      <w:rPr>
        <w:rFonts w:ascii="Courier New" w:hAnsi="Courier New" w:cs="Courier New" w:hint="default"/>
      </w:rPr>
    </w:lvl>
    <w:lvl w:ilvl="8" w:tplc="04100005" w:tentative="1">
      <w:start w:val="1"/>
      <w:numFmt w:val="bullet"/>
      <w:lvlText w:val=""/>
      <w:lvlJc w:val="left"/>
      <w:pPr>
        <w:ind w:left="3362" w:hanging="360"/>
      </w:pPr>
      <w:rPr>
        <w:rFonts w:ascii="Wingdings" w:hAnsi="Wingdings" w:hint="default"/>
      </w:rPr>
    </w:lvl>
  </w:abstractNum>
  <w:abstractNum w:abstractNumId="2" w15:restartNumberingAfterBreak="0">
    <w:nsid w:val="07F56881"/>
    <w:multiLevelType w:val="hybridMultilevel"/>
    <w:tmpl w:val="C128C5EE"/>
    <w:lvl w:ilvl="0" w:tplc="04090001">
      <w:start w:val="1"/>
      <w:numFmt w:val="bullet"/>
      <w:lvlText w:val=""/>
      <w:lvlJc w:val="left"/>
      <w:pPr>
        <w:ind w:left="1080" w:hanging="360"/>
      </w:pPr>
      <w:rPr>
        <w:rFonts w:ascii="Symbol" w:hAnsi="Symbol" w:hint="default"/>
        <w:color w:val="auto"/>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1E239FA"/>
    <w:multiLevelType w:val="hybridMultilevel"/>
    <w:tmpl w:val="1DF49E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F731F"/>
    <w:multiLevelType w:val="hybridMultilevel"/>
    <w:tmpl w:val="358CC896"/>
    <w:lvl w:ilvl="0" w:tplc="0410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7BA0215"/>
    <w:multiLevelType w:val="hybridMultilevel"/>
    <w:tmpl w:val="FF2CE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C5749F"/>
    <w:multiLevelType w:val="hybridMultilevel"/>
    <w:tmpl w:val="76B8E2D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0F27E2B"/>
    <w:multiLevelType w:val="hybridMultilevel"/>
    <w:tmpl w:val="352AF742"/>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211"/>
        </w:tabs>
        <w:ind w:left="1211" w:hanging="360"/>
      </w:pPr>
      <w:rPr>
        <w:rFonts w:ascii="Courier New" w:hAnsi="Courier New"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410AE"/>
    <w:multiLevelType w:val="hybridMultilevel"/>
    <w:tmpl w:val="C354091C"/>
    <w:lvl w:ilvl="0" w:tplc="04090001">
      <w:start w:val="1"/>
      <w:numFmt w:val="bullet"/>
      <w:lvlText w:val=""/>
      <w:lvlJc w:val="left"/>
      <w:pPr>
        <w:ind w:left="720" w:hanging="360"/>
      </w:pPr>
      <w:rPr>
        <w:rFonts w:ascii="Symbol" w:hAnsi="Symbo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0475FC"/>
    <w:multiLevelType w:val="hybridMultilevel"/>
    <w:tmpl w:val="B2027C58"/>
    <w:lvl w:ilvl="0" w:tplc="CC3C9EDA">
      <w:start w:val="1"/>
      <w:numFmt w:val="bullet"/>
      <w:lvlText w:val="o"/>
      <w:lvlJc w:val="left"/>
      <w:pPr>
        <w:ind w:left="1004" w:hanging="360"/>
      </w:pPr>
      <w:rPr>
        <w:rFonts w:ascii="Courier New" w:hAnsi="Courier New" w:cs="Courier New"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E8B2889"/>
    <w:multiLevelType w:val="hybridMultilevel"/>
    <w:tmpl w:val="70BEC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7D40F0"/>
    <w:multiLevelType w:val="hybridMultilevel"/>
    <w:tmpl w:val="064CE796"/>
    <w:lvl w:ilvl="0" w:tplc="0356746E">
      <w:numFmt w:val="bullet"/>
      <w:lvlText w:val="-"/>
      <w:lvlJc w:val="left"/>
      <w:pPr>
        <w:ind w:left="720" w:hanging="360"/>
      </w:pPr>
      <w:rPr>
        <w:rFonts w:ascii="Times New Roman" w:hAnsi="Times New Roman" w:cs="Times New Roman" w:hint="default"/>
        <w:b/>
        <w:i w:val="0"/>
        <w:color w:val="00000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2408">
    <w:abstractNumId w:val="1"/>
  </w:num>
  <w:num w:numId="2" w16cid:durableId="320431161">
    <w:abstractNumId w:val="9"/>
  </w:num>
  <w:num w:numId="3" w16cid:durableId="423771504">
    <w:abstractNumId w:val="0"/>
  </w:num>
  <w:num w:numId="4" w16cid:durableId="1145855065">
    <w:abstractNumId w:val="11"/>
  </w:num>
  <w:num w:numId="5" w16cid:durableId="918712081">
    <w:abstractNumId w:val="6"/>
  </w:num>
  <w:num w:numId="6" w16cid:durableId="1071387676">
    <w:abstractNumId w:val="4"/>
  </w:num>
  <w:num w:numId="7" w16cid:durableId="1832408177">
    <w:abstractNumId w:val="8"/>
  </w:num>
  <w:num w:numId="8" w16cid:durableId="2067024810">
    <w:abstractNumId w:val="2"/>
  </w:num>
  <w:num w:numId="9" w16cid:durableId="1225793546">
    <w:abstractNumId w:val="7"/>
  </w:num>
  <w:num w:numId="10" w16cid:durableId="1744913671">
    <w:abstractNumId w:val="3"/>
  </w:num>
  <w:num w:numId="11" w16cid:durableId="1664162726">
    <w:abstractNumId w:val="10"/>
  </w:num>
  <w:num w:numId="12" w16cid:durableId="1936356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BC"/>
    <w:rsid w:val="00062438"/>
    <w:rsid w:val="00094E0A"/>
    <w:rsid w:val="000B518A"/>
    <w:rsid w:val="000C6B44"/>
    <w:rsid w:val="001121DF"/>
    <w:rsid w:val="00113684"/>
    <w:rsid w:val="00145650"/>
    <w:rsid w:val="0014632C"/>
    <w:rsid w:val="00147179"/>
    <w:rsid w:val="001545B3"/>
    <w:rsid w:val="0016342D"/>
    <w:rsid w:val="0017348F"/>
    <w:rsid w:val="001C19C6"/>
    <w:rsid w:val="001D16E6"/>
    <w:rsid w:val="001E07AB"/>
    <w:rsid w:val="001F3729"/>
    <w:rsid w:val="00215E75"/>
    <w:rsid w:val="002221CF"/>
    <w:rsid w:val="0023432A"/>
    <w:rsid w:val="00242CCD"/>
    <w:rsid w:val="00246ED0"/>
    <w:rsid w:val="0026689A"/>
    <w:rsid w:val="00287C52"/>
    <w:rsid w:val="002B62FB"/>
    <w:rsid w:val="002C6AF7"/>
    <w:rsid w:val="002C7903"/>
    <w:rsid w:val="00302B21"/>
    <w:rsid w:val="003205DD"/>
    <w:rsid w:val="00333153"/>
    <w:rsid w:val="00353646"/>
    <w:rsid w:val="003546AE"/>
    <w:rsid w:val="003552BE"/>
    <w:rsid w:val="0035775E"/>
    <w:rsid w:val="0038204F"/>
    <w:rsid w:val="003930EB"/>
    <w:rsid w:val="003B1834"/>
    <w:rsid w:val="003C2771"/>
    <w:rsid w:val="003D3348"/>
    <w:rsid w:val="00415FBF"/>
    <w:rsid w:val="0043529F"/>
    <w:rsid w:val="004C7C01"/>
    <w:rsid w:val="004E1460"/>
    <w:rsid w:val="004E6EF7"/>
    <w:rsid w:val="004F2E3D"/>
    <w:rsid w:val="00511C62"/>
    <w:rsid w:val="00535436"/>
    <w:rsid w:val="00552C38"/>
    <w:rsid w:val="00570C9D"/>
    <w:rsid w:val="00572C84"/>
    <w:rsid w:val="00584421"/>
    <w:rsid w:val="005B1786"/>
    <w:rsid w:val="005C7A83"/>
    <w:rsid w:val="005E676E"/>
    <w:rsid w:val="005F2AF3"/>
    <w:rsid w:val="005F30D8"/>
    <w:rsid w:val="005F63FA"/>
    <w:rsid w:val="006264F1"/>
    <w:rsid w:val="00627AB9"/>
    <w:rsid w:val="00651957"/>
    <w:rsid w:val="00672C64"/>
    <w:rsid w:val="006806E5"/>
    <w:rsid w:val="00694F9C"/>
    <w:rsid w:val="006961A9"/>
    <w:rsid w:val="006B2373"/>
    <w:rsid w:val="006B6F55"/>
    <w:rsid w:val="006C57CF"/>
    <w:rsid w:val="006D6D06"/>
    <w:rsid w:val="006E3DD8"/>
    <w:rsid w:val="006F0335"/>
    <w:rsid w:val="007141F3"/>
    <w:rsid w:val="007224FD"/>
    <w:rsid w:val="00741F6A"/>
    <w:rsid w:val="007606BC"/>
    <w:rsid w:val="00775105"/>
    <w:rsid w:val="007B7967"/>
    <w:rsid w:val="007D52D5"/>
    <w:rsid w:val="00805370"/>
    <w:rsid w:val="00824421"/>
    <w:rsid w:val="00850392"/>
    <w:rsid w:val="008561F1"/>
    <w:rsid w:val="00884749"/>
    <w:rsid w:val="00891730"/>
    <w:rsid w:val="00894110"/>
    <w:rsid w:val="00895201"/>
    <w:rsid w:val="008D19AD"/>
    <w:rsid w:val="00900D2D"/>
    <w:rsid w:val="009131D8"/>
    <w:rsid w:val="00921918"/>
    <w:rsid w:val="0092408E"/>
    <w:rsid w:val="00942FD7"/>
    <w:rsid w:val="009901D9"/>
    <w:rsid w:val="009A1378"/>
    <w:rsid w:val="009C5C97"/>
    <w:rsid w:val="00A21EEE"/>
    <w:rsid w:val="00A30CBE"/>
    <w:rsid w:val="00A347AD"/>
    <w:rsid w:val="00A34BA2"/>
    <w:rsid w:val="00A63441"/>
    <w:rsid w:val="00A85BAF"/>
    <w:rsid w:val="00A85E73"/>
    <w:rsid w:val="00A91F50"/>
    <w:rsid w:val="00A952A0"/>
    <w:rsid w:val="00AA6D05"/>
    <w:rsid w:val="00AB217B"/>
    <w:rsid w:val="00AC4502"/>
    <w:rsid w:val="00B1325B"/>
    <w:rsid w:val="00B476D2"/>
    <w:rsid w:val="00B55CD3"/>
    <w:rsid w:val="00B65A59"/>
    <w:rsid w:val="00B81B87"/>
    <w:rsid w:val="00BA74DE"/>
    <w:rsid w:val="00BB6372"/>
    <w:rsid w:val="00BC20D3"/>
    <w:rsid w:val="00BC689D"/>
    <w:rsid w:val="00BD79D9"/>
    <w:rsid w:val="00BE43E7"/>
    <w:rsid w:val="00BF6CCD"/>
    <w:rsid w:val="00C1188B"/>
    <w:rsid w:val="00C25BBE"/>
    <w:rsid w:val="00C5042B"/>
    <w:rsid w:val="00C51BB0"/>
    <w:rsid w:val="00C529BE"/>
    <w:rsid w:val="00C5761A"/>
    <w:rsid w:val="00C6090D"/>
    <w:rsid w:val="00C723B0"/>
    <w:rsid w:val="00CD1A1B"/>
    <w:rsid w:val="00CF6F6C"/>
    <w:rsid w:val="00D078D3"/>
    <w:rsid w:val="00D33EA1"/>
    <w:rsid w:val="00D429FD"/>
    <w:rsid w:val="00DB188F"/>
    <w:rsid w:val="00DE1F6B"/>
    <w:rsid w:val="00DF0A99"/>
    <w:rsid w:val="00DF0CA5"/>
    <w:rsid w:val="00DF528D"/>
    <w:rsid w:val="00E2089E"/>
    <w:rsid w:val="00E22E63"/>
    <w:rsid w:val="00E30B3E"/>
    <w:rsid w:val="00E30D69"/>
    <w:rsid w:val="00E32FE9"/>
    <w:rsid w:val="00E3524E"/>
    <w:rsid w:val="00E41DDB"/>
    <w:rsid w:val="00E56D57"/>
    <w:rsid w:val="00E662A7"/>
    <w:rsid w:val="00E66D02"/>
    <w:rsid w:val="00E7798C"/>
    <w:rsid w:val="00E8325E"/>
    <w:rsid w:val="00E91588"/>
    <w:rsid w:val="00EA1BBD"/>
    <w:rsid w:val="00EA67C7"/>
    <w:rsid w:val="00EE5349"/>
    <w:rsid w:val="00F220DA"/>
    <w:rsid w:val="00F25342"/>
    <w:rsid w:val="00F46BC8"/>
    <w:rsid w:val="00F5103C"/>
    <w:rsid w:val="00F568D7"/>
    <w:rsid w:val="00F601DF"/>
    <w:rsid w:val="00F62956"/>
    <w:rsid w:val="00F64CD4"/>
    <w:rsid w:val="00F6777E"/>
    <w:rsid w:val="00F83A4E"/>
    <w:rsid w:val="00F90C81"/>
    <w:rsid w:val="00F9687D"/>
    <w:rsid w:val="00FB1AA8"/>
    <w:rsid w:val="00FB2782"/>
    <w:rsid w:val="00FD0DCC"/>
    <w:rsid w:val="00FE2AE5"/>
    <w:rsid w:val="00FF415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9E15"/>
  <w15:chartTrackingRefBased/>
  <w15:docId w15:val="{0EB16565-E5D5-B140-97A8-93F25E66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C84"/>
    <w:rPr>
      <w:rFonts w:ascii="Verdana" w:hAnsi="Verdana"/>
      <w:sz w:val="21"/>
    </w:rPr>
  </w:style>
  <w:style w:type="paragraph" w:styleId="Titolo1">
    <w:name w:val="heading 1"/>
    <w:aliases w:val="CS scritta"/>
    <w:basedOn w:val="Normale"/>
    <w:next w:val="Normale"/>
    <w:link w:val="Titolo1Carattere"/>
    <w:uiPriority w:val="9"/>
    <w:qFormat/>
    <w:rsid w:val="003205DD"/>
    <w:pPr>
      <w:jc w:val="center"/>
      <w:outlineLvl w:val="0"/>
    </w:pPr>
    <w:rPr>
      <w:rFonts w:ascii="Gill Sans MT" w:eastAsia="Times New Roman" w:hAnsi="Gill Sans MT" w:cs="Open Sans"/>
      <w:b/>
      <w:bCs/>
      <w:color w:val="000000" w:themeColor="text1"/>
      <w:sz w:val="28"/>
      <w:szCs w:val="28"/>
      <w:u w:val="single"/>
      <w:shd w:val="clear" w:color="auto" w:fill="FFFFFF"/>
      <w:lang w:eastAsia="it-IT"/>
    </w:rPr>
  </w:style>
  <w:style w:type="paragraph" w:styleId="Titolo2">
    <w:name w:val="heading 2"/>
    <w:aliases w:val="TITOLO CS"/>
    <w:basedOn w:val="Normale"/>
    <w:next w:val="Normale"/>
    <w:link w:val="Titolo2Carattere"/>
    <w:uiPriority w:val="9"/>
    <w:unhideWhenUsed/>
    <w:qFormat/>
    <w:rsid w:val="004C7C01"/>
    <w:pPr>
      <w:jc w:val="center"/>
      <w:outlineLvl w:val="1"/>
    </w:pPr>
    <w:rPr>
      <w:rFonts w:ascii="Gill Sans MT" w:hAnsi="Gill Sans MT" w:cs="Arial"/>
      <w:b/>
      <w:bCs/>
      <w:sz w:val="2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7606BC"/>
    <w:pPr>
      <w:tabs>
        <w:tab w:val="center" w:pos="4819"/>
        <w:tab w:val="right" w:pos="9638"/>
      </w:tabs>
    </w:pPr>
  </w:style>
  <w:style w:type="character" w:customStyle="1" w:styleId="IntestazioneCarattere">
    <w:name w:val="Intestazione Carattere"/>
    <w:basedOn w:val="Carpredefinitoparagrafo"/>
    <w:link w:val="Intestazione"/>
    <w:rsid w:val="007606BC"/>
  </w:style>
  <w:style w:type="paragraph" w:styleId="Pidipagina">
    <w:name w:val="footer"/>
    <w:basedOn w:val="Normale"/>
    <w:link w:val="PidipaginaCarattere"/>
    <w:unhideWhenUsed/>
    <w:rsid w:val="007606BC"/>
    <w:pPr>
      <w:tabs>
        <w:tab w:val="center" w:pos="4819"/>
        <w:tab w:val="right" w:pos="9638"/>
      </w:tabs>
    </w:pPr>
  </w:style>
  <w:style w:type="character" w:customStyle="1" w:styleId="PidipaginaCarattere">
    <w:name w:val="Piè di pagina Carattere"/>
    <w:basedOn w:val="Carpredefinitoparagrafo"/>
    <w:link w:val="Pidipagina"/>
    <w:uiPriority w:val="99"/>
    <w:rsid w:val="007606BC"/>
  </w:style>
  <w:style w:type="paragraph" w:styleId="Testonormale">
    <w:name w:val="Plain Text"/>
    <w:basedOn w:val="Normale"/>
    <w:link w:val="TestonormaleCarattere"/>
    <w:rsid w:val="00C25BBE"/>
    <w:rPr>
      <w:rFonts w:ascii="Courier New" w:eastAsia="Times" w:hAnsi="Courier New" w:cs="Times New Roman"/>
      <w:sz w:val="20"/>
      <w:szCs w:val="20"/>
      <w:lang w:eastAsia="it-IT"/>
    </w:rPr>
  </w:style>
  <w:style w:type="character" w:customStyle="1" w:styleId="TestonormaleCarattere">
    <w:name w:val="Testo normale Carattere"/>
    <w:basedOn w:val="Carpredefinitoparagrafo"/>
    <w:link w:val="Testonormale"/>
    <w:rsid w:val="00C25BBE"/>
    <w:rPr>
      <w:rFonts w:ascii="Courier New" w:eastAsia="Times" w:hAnsi="Courier New" w:cs="Times New Roman"/>
      <w:sz w:val="20"/>
      <w:szCs w:val="20"/>
      <w:lang w:eastAsia="it-IT"/>
    </w:rPr>
  </w:style>
  <w:style w:type="paragraph" w:styleId="NormaleWeb">
    <w:name w:val="Normal (Web)"/>
    <w:basedOn w:val="Normale"/>
    <w:uiPriority w:val="99"/>
    <w:unhideWhenUsed/>
    <w:rsid w:val="008D19AD"/>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6961A9"/>
  </w:style>
  <w:style w:type="character" w:customStyle="1" w:styleId="Titolo1Carattere">
    <w:name w:val="Titolo 1 Carattere"/>
    <w:aliases w:val="CS scritta Carattere"/>
    <w:basedOn w:val="Carpredefinitoparagrafo"/>
    <w:link w:val="Titolo1"/>
    <w:uiPriority w:val="9"/>
    <w:rsid w:val="003205DD"/>
    <w:rPr>
      <w:rFonts w:ascii="Gill Sans MT" w:eastAsia="Times New Roman" w:hAnsi="Gill Sans MT" w:cs="Open Sans"/>
      <w:b/>
      <w:bCs/>
      <w:color w:val="000000" w:themeColor="text1"/>
      <w:sz w:val="28"/>
      <w:szCs w:val="28"/>
      <w:u w:val="single"/>
      <w:lang w:eastAsia="it-IT"/>
    </w:rPr>
  </w:style>
  <w:style w:type="character" w:customStyle="1" w:styleId="Titolo2Carattere">
    <w:name w:val="Titolo 2 Carattere"/>
    <w:aliases w:val="TITOLO CS Carattere"/>
    <w:basedOn w:val="Carpredefinitoparagrafo"/>
    <w:link w:val="Titolo2"/>
    <w:uiPriority w:val="9"/>
    <w:rsid w:val="004C7C01"/>
    <w:rPr>
      <w:rFonts w:ascii="Gill Sans MT" w:hAnsi="Gill Sans MT" w:cs="Arial"/>
      <w:b/>
      <w:bCs/>
      <w:sz w:val="22"/>
      <w:szCs w:val="32"/>
    </w:rPr>
  </w:style>
  <w:style w:type="character" w:styleId="Collegamentoipertestuale">
    <w:name w:val="Hyperlink"/>
    <w:rsid w:val="003205DD"/>
    <w:rPr>
      <w:color w:val="0000FF"/>
      <w:u w:val="single"/>
    </w:rPr>
  </w:style>
  <w:style w:type="paragraph" w:styleId="Paragrafoelenco">
    <w:name w:val="List Paragraph"/>
    <w:aliases w:val="1st Bullet Point,Bullet List,Bullet OSM,Bullet edison,Bulleted Text,Content,Elenco_1,FVP-Paragrafo,FooterText,Liste 1,Proposal Bullet List,Sub bullet,TOC style,Table,Testo elenco,Titolo 2.2,Titolo_3,d_bodyb,lp1,text bullet,z19"/>
    <w:basedOn w:val="Normale"/>
    <w:link w:val="ParagrafoelencoCarattere"/>
    <w:uiPriority w:val="34"/>
    <w:qFormat/>
    <w:rsid w:val="003205DD"/>
    <w:pPr>
      <w:ind w:left="720"/>
    </w:pPr>
    <w:rPr>
      <w:rFonts w:ascii="Calibri" w:eastAsia="Times New Roman" w:hAnsi="Calibri" w:cs="Times New Roman"/>
      <w:sz w:val="22"/>
      <w:szCs w:val="22"/>
      <w:lang w:val="en-US"/>
    </w:rPr>
  </w:style>
  <w:style w:type="paragraph" w:styleId="Corpodeltesto3">
    <w:name w:val="Body Text 3"/>
    <w:basedOn w:val="Normale"/>
    <w:link w:val="Corpodeltesto3Carattere"/>
    <w:rsid w:val="003205DD"/>
    <w:pPr>
      <w:jc w:val="center"/>
    </w:pPr>
    <w:rPr>
      <w:rFonts w:ascii="Times New Roman" w:eastAsia="Times New Roman" w:hAnsi="Times New Roman" w:cs="Times New Roman"/>
      <w:b/>
      <w:sz w:val="28"/>
      <w:szCs w:val="20"/>
      <w:lang w:eastAsia="it-IT"/>
    </w:rPr>
  </w:style>
  <w:style w:type="character" w:customStyle="1" w:styleId="Corpodeltesto3Carattere">
    <w:name w:val="Corpo del testo 3 Carattere"/>
    <w:basedOn w:val="Carpredefinitoparagrafo"/>
    <w:link w:val="Corpodeltesto3"/>
    <w:rsid w:val="003205DD"/>
    <w:rPr>
      <w:rFonts w:ascii="Times New Roman" w:eastAsia="Times New Roman" w:hAnsi="Times New Roman" w:cs="Times New Roman"/>
      <w:b/>
      <w:sz w:val="28"/>
      <w:szCs w:val="20"/>
      <w:lang w:eastAsia="it-IT"/>
    </w:rPr>
  </w:style>
  <w:style w:type="character" w:customStyle="1" w:styleId="ParagrafoelencoCarattere">
    <w:name w:val="Paragrafo elenco Carattere"/>
    <w:aliases w:val="1st Bullet Point Carattere,Bullet List Carattere,Bullet OSM Carattere,Bullet edison Carattere,Bulleted Text Carattere,Content Carattere,Elenco_1 Carattere,FVP-Paragrafo Carattere,FooterText Carattere,Liste 1 Carattere"/>
    <w:link w:val="Paragrafoelenco"/>
    <w:uiPriority w:val="34"/>
    <w:locked/>
    <w:rsid w:val="003205DD"/>
    <w:rPr>
      <w:rFonts w:ascii="Calibri" w:eastAsia="Times New Roman" w:hAnsi="Calibri" w:cs="Times New Roman"/>
      <w:sz w:val="22"/>
      <w:szCs w:val="22"/>
      <w:lang w:val="en-US"/>
    </w:rPr>
  </w:style>
  <w:style w:type="paragraph" w:styleId="Rientrocorpodeltesto">
    <w:name w:val="Body Text Indent"/>
    <w:basedOn w:val="Normale"/>
    <w:link w:val="RientrocorpodeltestoCarattere"/>
    <w:rsid w:val="003205DD"/>
    <w:pPr>
      <w:spacing w:after="120"/>
      <w:ind w:left="283"/>
    </w:pPr>
    <w:rPr>
      <w:rFonts w:ascii="Times" w:eastAsia="Times" w:hAnsi="Times" w:cs="Times New Roman"/>
      <w:sz w:val="24"/>
      <w:szCs w:val="20"/>
      <w:lang w:eastAsia="it-IT"/>
    </w:rPr>
  </w:style>
  <w:style w:type="character" w:customStyle="1" w:styleId="RientrocorpodeltestoCarattere">
    <w:name w:val="Rientro corpo del testo Carattere"/>
    <w:basedOn w:val="Carpredefinitoparagrafo"/>
    <w:link w:val="Rientrocorpodeltesto"/>
    <w:rsid w:val="003205DD"/>
    <w:rPr>
      <w:rFonts w:ascii="Times" w:eastAsia="Times" w:hAnsi="Times" w:cs="Times New Roman"/>
      <w:szCs w:val="20"/>
      <w:lang w:eastAsia="it-IT"/>
    </w:rPr>
  </w:style>
  <w:style w:type="paragraph" w:styleId="Titolo">
    <w:name w:val="Title"/>
    <w:aliases w:val="sottotitoli"/>
    <w:basedOn w:val="Normale"/>
    <w:next w:val="Normale"/>
    <w:link w:val="TitoloCarattere"/>
    <w:uiPriority w:val="10"/>
    <w:qFormat/>
    <w:rsid w:val="00C1188B"/>
    <w:pPr>
      <w:jc w:val="both"/>
    </w:pPr>
    <w:rPr>
      <w:rFonts w:ascii="Gill Sans MT" w:eastAsia="Arial Unicode MS" w:hAnsi="Gill Sans MT" w:cs="Arial"/>
      <w:b/>
      <w:sz w:val="22"/>
      <w:szCs w:val="32"/>
    </w:rPr>
  </w:style>
  <w:style w:type="character" w:customStyle="1" w:styleId="TitoloCarattere">
    <w:name w:val="Titolo Carattere"/>
    <w:aliases w:val="sottotitoli Carattere"/>
    <w:basedOn w:val="Carpredefinitoparagrafo"/>
    <w:link w:val="Titolo"/>
    <w:uiPriority w:val="10"/>
    <w:rsid w:val="00C1188B"/>
    <w:rPr>
      <w:rFonts w:ascii="Gill Sans MT" w:eastAsia="Arial Unicode MS" w:hAnsi="Gill Sans MT" w:cs="Arial"/>
      <w:b/>
      <w:sz w:val="22"/>
      <w:szCs w:val="32"/>
    </w:rPr>
  </w:style>
  <w:style w:type="character" w:styleId="Menzionenonrisolta">
    <w:name w:val="Unresolved Mention"/>
    <w:basedOn w:val="Carpredefinitoparagrafo"/>
    <w:uiPriority w:val="99"/>
    <w:semiHidden/>
    <w:unhideWhenUsed/>
    <w:rsid w:val="00E7798C"/>
    <w:rPr>
      <w:color w:val="605E5C"/>
      <w:shd w:val="clear" w:color="auto" w:fill="E1DFDD"/>
    </w:rPr>
  </w:style>
  <w:style w:type="character" w:styleId="Collegamentovisitato">
    <w:name w:val="FollowedHyperlink"/>
    <w:basedOn w:val="Carpredefinitoparagrafo"/>
    <w:uiPriority w:val="99"/>
    <w:semiHidden/>
    <w:unhideWhenUsed/>
    <w:rsid w:val="00BB6372"/>
    <w:rPr>
      <w:color w:val="954F72" w:themeColor="followedHyperlink"/>
      <w:u w:val="single"/>
    </w:rPr>
  </w:style>
  <w:style w:type="paragraph" w:styleId="Revisione">
    <w:name w:val="Revision"/>
    <w:hidden/>
    <w:uiPriority w:val="99"/>
    <w:semiHidden/>
    <w:rsid w:val="00DF528D"/>
    <w:rPr>
      <w:rFonts w:ascii="Verdana" w:hAnsi="Verdana"/>
      <w:sz w:val="21"/>
    </w:rPr>
  </w:style>
  <w:style w:type="character" w:styleId="Rimandocommento">
    <w:name w:val="annotation reference"/>
    <w:basedOn w:val="Carpredefinitoparagrafo"/>
    <w:uiPriority w:val="99"/>
    <w:semiHidden/>
    <w:unhideWhenUsed/>
    <w:rsid w:val="00E662A7"/>
    <w:rPr>
      <w:sz w:val="16"/>
      <w:szCs w:val="16"/>
    </w:rPr>
  </w:style>
  <w:style w:type="paragraph" w:styleId="Testocommento">
    <w:name w:val="annotation text"/>
    <w:basedOn w:val="Normale"/>
    <w:link w:val="TestocommentoCarattere"/>
    <w:uiPriority w:val="99"/>
    <w:unhideWhenUsed/>
    <w:rsid w:val="00E662A7"/>
    <w:rPr>
      <w:sz w:val="20"/>
      <w:szCs w:val="20"/>
    </w:rPr>
  </w:style>
  <w:style w:type="character" w:customStyle="1" w:styleId="TestocommentoCarattere">
    <w:name w:val="Testo commento Carattere"/>
    <w:basedOn w:val="Carpredefinitoparagrafo"/>
    <w:link w:val="Testocommento"/>
    <w:uiPriority w:val="99"/>
    <w:rsid w:val="00E662A7"/>
    <w:rPr>
      <w:rFonts w:ascii="Verdana" w:hAnsi="Verdana"/>
      <w:sz w:val="20"/>
      <w:szCs w:val="20"/>
    </w:rPr>
  </w:style>
  <w:style w:type="paragraph" w:styleId="Soggettocommento">
    <w:name w:val="annotation subject"/>
    <w:basedOn w:val="Testocommento"/>
    <w:next w:val="Testocommento"/>
    <w:link w:val="SoggettocommentoCarattere"/>
    <w:uiPriority w:val="99"/>
    <w:semiHidden/>
    <w:unhideWhenUsed/>
    <w:rsid w:val="003546AE"/>
    <w:rPr>
      <w:b/>
      <w:bCs/>
    </w:rPr>
  </w:style>
  <w:style w:type="character" w:customStyle="1" w:styleId="SoggettocommentoCarattere">
    <w:name w:val="Soggetto commento Carattere"/>
    <w:basedOn w:val="TestocommentoCarattere"/>
    <w:link w:val="Soggettocommento"/>
    <w:uiPriority w:val="99"/>
    <w:semiHidden/>
    <w:rsid w:val="003546AE"/>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6749">
      <w:bodyDiv w:val="1"/>
      <w:marLeft w:val="0"/>
      <w:marRight w:val="0"/>
      <w:marTop w:val="0"/>
      <w:marBottom w:val="0"/>
      <w:divBdr>
        <w:top w:val="none" w:sz="0" w:space="0" w:color="auto"/>
        <w:left w:val="none" w:sz="0" w:space="0" w:color="auto"/>
        <w:bottom w:val="none" w:sz="0" w:space="0" w:color="auto"/>
        <w:right w:val="none" w:sz="0" w:space="0" w:color="auto"/>
      </w:divBdr>
    </w:div>
    <w:div w:id="1156461569">
      <w:bodyDiv w:val="1"/>
      <w:marLeft w:val="0"/>
      <w:marRight w:val="0"/>
      <w:marTop w:val="0"/>
      <w:marBottom w:val="0"/>
      <w:divBdr>
        <w:top w:val="none" w:sz="0" w:space="0" w:color="auto"/>
        <w:left w:val="none" w:sz="0" w:space="0" w:color="auto"/>
        <w:bottom w:val="none" w:sz="0" w:space="0" w:color="auto"/>
        <w:right w:val="none" w:sz="0" w:space="0" w:color="auto"/>
      </w:divBdr>
    </w:div>
    <w:div w:id="1259676018">
      <w:bodyDiv w:val="1"/>
      <w:marLeft w:val="0"/>
      <w:marRight w:val="0"/>
      <w:marTop w:val="0"/>
      <w:marBottom w:val="0"/>
      <w:divBdr>
        <w:top w:val="none" w:sz="0" w:space="0" w:color="auto"/>
        <w:left w:val="none" w:sz="0" w:space="0" w:color="auto"/>
        <w:bottom w:val="none" w:sz="0" w:space="0" w:color="auto"/>
        <w:right w:val="none" w:sz="0" w:space="0" w:color="auto"/>
      </w:divBdr>
    </w:div>
    <w:div w:id="1332831228">
      <w:bodyDiv w:val="1"/>
      <w:marLeft w:val="0"/>
      <w:marRight w:val="0"/>
      <w:marTop w:val="0"/>
      <w:marBottom w:val="0"/>
      <w:divBdr>
        <w:top w:val="none" w:sz="0" w:space="0" w:color="auto"/>
        <w:left w:val="none" w:sz="0" w:space="0" w:color="auto"/>
        <w:bottom w:val="none" w:sz="0" w:space="0" w:color="auto"/>
        <w:right w:val="none" w:sz="0" w:space="0" w:color="auto"/>
      </w:divBdr>
    </w:div>
    <w:div w:id="1346324241">
      <w:bodyDiv w:val="1"/>
      <w:marLeft w:val="0"/>
      <w:marRight w:val="0"/>
      <w:marTop w:val="0"/>
      <w:marBottom w:val="0"/>
      <w:divBdr>
        <w:top w:val="none" w:sz="0" w:space="0" w:color="auto"/>
        <w:left w:val="none" w:sz="0" w:space="0" w:color="auto"/>
        <w:bottom w:val="none" w:sz="0" w:space="0" w:color="auto"/>
        <w:right w:val="none" w:sz="0" w:space="0" w:color="auto"/>
      </w:divBdr>
    </w:div>
    <w:div w:id="1560746202">
      <w:bodyDiv w:val="1"/>
      <w:marLeft w:val="0"/>
      <w:marRight w:val="0"/>
      <w:marTop w:val="0"/>
      <w:marBottom w:val="0"/>
      <w:divBdr>
        <w:top w:val="none" w:sz="0" w:space="0" w:color="auto"/>
        <w:left w:val="none" w:sz="0" w:space="0" w:color="auto"/>
        <w:bottom w:val="none" w:sz="0" w:space="0" w:color="auto"/>
        <w:right w:val="none" w:sz="0" w:space="0" w:color="auto"/>
      </w:divBdr>
    </w:div>
    <w:div w:id="1589844465">
      <w:bodyDiv w:val="1"/>
      <w:marLeft w:val="0"/>
      <w:marRight w:val="0"/>
      <w:marTop w:val="0"/>
      <w:marBottom w:val="0"/>
      <w:divBdr>
        <w:top w:val="none" w:sz="0" w:space="0" w:color="auto"/>
        <w:left w:val="none" w:sz="0" w:space="0" w:color="auto"/>
        <w:bottom w:val="none" w:sz="0" w:space="0" w:color="auto"/>
        <w:right w:val="none" w:sz="0" w:space="0" w:color="auto"/>
      </w:divBdr>
    </w:div>
    <w:div w:id="1771123278">
      <w:bodyDiv w:val="1"/>
      <w:marLeft w:val="0"/>
      <w:marRight w:val="0"/>
      <w:marTop w:val="0"/>
      <w:marBottom w:val="0"/>
      <w:divBdr>
        <w:top w:val="none" w:sz="0" w:space="0" w:color="auto"/>
        <w:left w:val="none" w:sz="0" w:space="0" w:color="auto"/>
        <w:bottom w:val="none" w:sz="0" w:space="0" w:color="auto"/>
        <w:right w:val="none" w:sz="0" w:space="0" w:color="auto"/>
      </w:divBdr>
    </w:div>
    <w:div w:id="195200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capital.com" TargetMode="External"/><Relationship Id="rId13" Type="http://schemas.openxmlformats.org/officeDocument/2006/relationships/hyperlink" Target="mailto:anna.majocchi@deacapita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rco.scopigno@deacapit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risons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acapital.com/?lang=en&amp;rc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arrisonst.com/" TargetMode="External"/><Relationship Id="rId14" Type="http://schemas.openxmlformats.org/officeDocument/2006/relationships/hyperlink" Target="mailto:beatrice.mori@deacapita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7366-A9EF-4646-9AEC-707024C8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1187</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Scopigno Marco</cp:lastModifiedBy>
  <cp:revision>6</cp:revision>
  <cp:lastPrinted>2023-09-20T10:30:00Z</cp:lastPrinted>
  <dcterms:created xsi:type="dcterms:W3CDTF">2023-09-20T11:37:00Z</dcterms:created>
  <dcterms:modified xsi:type="dcterms:W3CDTF">2023-09-21T08:11:00Z</dcterms:modified>
</cp:coreProperties>
</file>