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082" w14:textId="77777777" w:rsidR="00E22E63" w:rsidRDefault="00E22E63" w:rsidP="004C7C01">
      <w:pPr>
        <w:pStyle w:val="Titolo1"/>
      </w:pPr>
    </w:p>
    <w:p w14:paraId="21CC92A8" w14:textId="507FB1B2" w:rsidR="008D19AD" w:rsidRPr="00C0712F" w:rsidRDefault="00C0712F" w:rsidP="004C7C01">
      <w:pPr>
        <w:pStyle w:val="Titolo1"/>
        <w:rPr>
          <w:lang w:val="en-US"/>
        </w:rPr>
      </w:pPr>
      <w:bookmarkStart w:id="0" w:name="_Hlk139384539"/>
      <w:r w:rsidRPr="00C0712F">
        <w:rPr>
          <w:lang w:val="en-US"/>
        </w:rPr>
        <w:t>PRESS RELEASE</w:t>
      </w:r>
    </w:p>
    <w:p w14:paraId="51EB1676" w14:textId="77777777" w:rsidR="00805370" w:rsidRPr="00C0712F" w:rsidRDefault="00805370" w:rsidP="001121DF">
      <w:pPr>
        <w:pStyle w:val="Titolo2"/>
        <w:jc w:val="left"/>
        <w:rPr>
          <w:sz w:val="16"/>
          <w:szCs w:val="16"/>
          <w:shd w:val="clear" w:color="auto" w:fill="FFFFFF"/>
          <w:lang w:val="en-US" w:eastAsia="it-IT"/>
        </w:rPr>
      </w:pPr>
    </w:p>
    <w:p w14:paraId="7A9054EB" w14:textId="054F600D" w:rsidR="00E22E63" w:rsidRDefault="00E22E63" w:rsidP="00C0712F">
      <w:pPr>
        <w:pStyle w:val="Titolo2"/>
        <w:jc w:val="left"/>
        <w:rPr>
          <w:rFonts w:ascii="Arial" w:hAnsi="Arial"/>
          <w:sz w:val="34"/>
          <w:szCs w:val="34"/>
          <w:lang w:val="en-US"/>
        </w:rPr>
      </w:pPr>
      <w:bookmarkStart w:id="1" w:name="_DeA_Capital_Real"/>
      <w:bookmarkEnd w:id="1"/>
    </w:p>
    <w:p w14:paraId="63F3BE4A" w14:textId="77777777" w:rsidR="00C0712F" w:rsidRPr="00C0712F" w:rsidRDefault="00C0712F" w:rsidP="00C0712F">
      <w:pPr>
        <w:jc w:val="center"/>
        <w:rPr>
          <w:b/>
          <w:sz w:val="24"/>
          <w:lang w:val="en-US"/>
        </w:rPr>
      </w:pPr>
      <w:r w:rsidRPr="00C0712F">
        <w:rPr>
          <w:b/>
          <w:sz w:val="24"/>
          <w:lang w:val="en-US"/>
        </w:rPr>
        <w:t>HARRISON STREET AND DEA CAPITAL</w:t>
      </w:r>
    </w:p>
    <w:p w14:paraId="163DD380" w14:textId="77777777" w:rsidR="00C0712F" w:rsidRDefault="00C0712F" w:rsidP="00C0712F">
      <w:pPr>
        <w:jc w:val="center"/>
        <w:rPr>
          <w:b/>
          <w:sz w:val="24"/>
          <w:lang w:val="en-US"/>
        </w:rPr>
      </w:pPr>
      <w:r w:rsidRPr="00C0712F">
        <w:rPr>
          <w:b/>
          <w:sz w:val="24"/>
          <w:lang w:val="en-US"/>
        </w:rPr>
        <w:t xml:space="preserve">TO ACQUIRE 430 BUILD-TO-RENT UNITS </w:t>
      </w:r>
    </w:p>
    <w:p w14:paraId="18D81585" w14:textId="2CB77CDC" w:rsidR="00C0712F" w:rsidRPr="00C0712F" w:rsidRDefault="00C0712F" w:rsidP="00C0712F">
      <w:pPr>
        <w:jc w:val="center"/>
        <w:rPr>
          <w:b/>
          <w:sz w:val="24"/>
          <w:lang w:val="en-US"/>
        </w:rPr>
      </w:pPr>
      <w:r w:rsidRPr="00C0712F">
        <w:rPr>
          <w:b/>
          <w:sz w:val="24"/>
          <w:lang w:val="en-US"/>
        </w:rPr>
        <w:t>IN MADRID AND ALICANTE</w:t>
      </w:r>
    </w:p>
    <w:p w14:paraId="0E614B3A" w14:textId="77777777" w:rsidR="00E662A7" w:rsidRPr="00C0712F" w:rsidRDefault="00E662A7" w:rsidP="00E662A7">
      <w:pPr>
        <w:rPr>
          <w:sz w:val="12"/>
          <w:szCs w:val="14"/>
          <w:lang w:val="en-US"/>
        </w:rPr>
      </w:pPr>
    </w:p>
    <w:p w14:paraId="458FA066" w14:textId="77777777" w:rsidR="00E662A7" w:rsidRPr="00C0712F" w:rsidRDefault="00E662A7" w:rsidP="00E662A7">
      <w:pPr>
        <w:jc w:val="both"/>
        <w:rPr>
          <w:rFonts w:ascii="Gill Sans MT" w:hAnsi="Gill Sans MT" w:cs="Calibri"/>
          <w:bCs/>
          <w:i/>
          <w:iCs/>
          <w:sz w:val="20"/>
          <w:lang w:val="en-US"/>
        </w:rPr>
      </w:pPr>
    </w:p>
    <w:p w14:paraId="48882AC8" w14:textId="5AC504A2" w:rsidR="00C0712F" w:rsidRPr="00C0712F" w:rsidRDefault="00E662A7" w:rsidP="00C0712F">
      <w:pPr>
        <w:jc w:val="both"/>
        <w:rPr>
          <w:rFonts w:ascii="Gill Sans MT" w:hAnsi="Gill Sans MT" w:cs="Calibri"/>
          <w:bCs/>
          <w:sz w:val="20"/>
          <w:lang w:val="en"/>
        </w:rPr>
      </w:pPr>
      <w:r w:rsidRPr="00C0712F">
        <w:rPr>
          <w:rFonts w:ascii="Gill Sans MT" w:hAnsi="Gill Sans MT" w:cs="Calibri"/>
          <w:bCs/>
          <w:i/>
          <w:iCs/>
          <w:sz w:val="20"/>
          <w:lang w:val="en-US"/>
        </w:rPr>
        <w:t>Milan,</w:t>
      </w:r>
      <w:r w:rsidR="00C0712F">
        <w:rPr>
          <w:rFonts w:ascii="Gill Sans MT" w:hAnsi="Gill Sans MT" w:cs="Calibri"/>
          <w:bCs/>
          <w:i/>
          <w:iCs/>
          <w:sz w:val="20"/>
          <w:lang w:val="en-US"/>
        </w:rPr>
        <w:t xml:space="preserve"> Madrid</w:t>
      </w:r>
      <w:r w:rsidR="00C0712F" w:rsidRPr="0080515B">
        <w:rPr>
          <w:rFonts w:ascii="Gill Sans MT" w:hAnsi="Gill Sans MT" w:cs="Calibri"/>
          <w:bCs/>
          <w:i/>
          <w:iCs/>
          <w:sz w:val="20"/>
          <w:lang w:val="en-US"/>
        </w:rPr>
        <w:t>,</w:t>
      </w:r>
      <w:r w:rsidRPr="0080515B">
        <w:rPr>
          <w:rFonts w:ascii="Gill Sans MT" w:hAnsi="Gill Sans MT" w:cs="Calibri"/>
          <w:bCs/>
          <w:i/>
          <w:iCs/>
          <w:sz w:val="20"/>
          <w:lang w:val="en-US"/>
        </w:rPr>
        <w:t xml:space="preserve"> </w:t>
      </w:r>
      <w:r w:rsidR="00532FA9" w:rsidRPr="0080515B">
        <w:rPr>
          <w:rFonts w:ascii="Gill Sans MT" w:hAnsi="Gill Sans MT" w:cs="Calibri"/>
          <w:bCs/>
          <w:i/>
          <w:iCs/>
          <w:sz w:val="20"/>
          <w:lang w:val="en-US"/>
        </w:rPr>
        <w:t>21</w:t>
      </w:r>
      <w:r w:rsidR="00EA67C7" w:rsidRPr="0080515B">
        <w:rPr>
          <w:rFonts w:ascii="Gill Sans MT" w:hAnsi="Gill Sans MT" w:cs="Calibri"/>
          <w:bCs/>
          <w:i/>
          <w:iCs/>
          <w:sz w:val="20"/>
          <w:lang w:val="en-US"/>
        </w:rPr>
        <w:t xml:space="preserve"> </w:t>
      </w:r>
      <w:r w:rsidR="00C0712F" w:rsidRPr="0080515B">
        <w:rPr>
          <w:rFonts w:ascii="Gill Sans MT" w:hAnsi="Gill Sans MT" w:cs="Calibri"/>
          <w:bCs/>
          <w:i/>
          <w:iCs/>
          <w:sz w:val="20"/>
          <w:lang w:val="en-US"/>
        </w:rPr>
        <w:t xml:space="preserve">September </w:t>
      </w:r>
      <w:r w:rsidRPr="0080515B">
        <w:rPr>
          <w:rFonts w:ascii="Gill Sans MT" w:hAnsi="Gill Sans MT" w:cs="Calibri"/>
          <w:bCs/>
          <w:i/>
          <w:iCs/>
          <w:sz w:val="20"/>
          <w:lang w:val="en-US"/>
        </w:rPr>
        <w:t>2023</w:t>
      </w:r>
      <w:r w:rsidRPr="00C0712F">
        <w:rPr>
          <w:rFonts w:ascii="Gill Sans MT" w:hAnsi="Gill Sans MT" w:cs="Calibri"/>
          <w:bCs/>
          <w:i/>
          <w:iCs/>
          <w:sz w:val="20"/>
          <w:lang w:val="en-US"/>
        </w:rPr>
        <w:t xml:space="preserve"> –</w:t>
      </w:r>
      <w:r w:rsidR="00C0712F">
        <w:rPr>
          <w:rFonts w:ascii="Gill Sans MT" w:hAnsi="Gill Sans MT" w:cs="Calibri"/>
          <w:bCs/>
          <w:i/>
          <w:iCs/>
          <w:sz w:val="20"/>
          <w:lang w:val="en-US"/>
        </w:rPr>
        <w:t xml:space="preserve"> </w:t>
      </w:r>
      <w:hyperlink r:id="rId8" w:history="1">
        <w:r w:rsidR="00C0712F" w:rsidRPr="0080515B">
          <w:rPr>
            <w:rStyle w:val="Collegamentoipertestuale"/>
            <w:rFonts w:ascii="Gill Sans MT" w:hAnsi="Gill Sans MT" w:cs="Calibri"/>
            <w:b/>
            <w:bCs/>
            <w:color w:val="auto"/>
            <w:sz w:val="20"/>
            <w:lang w:val="en"/>
          </w:rPr>
          <w:t>DeA Capital S.p.A.</w:t>
        </w:r>
      </w:hyperlink>
      <w:r w:rsidR="00C0712F" w:rsidRPr="0080515B">
        <w:rPr>
          <w:rFonts w:ascii="Gill Sans MT" w:hAnsi="Gill Sans MT" w:cs="Calibri"/>
          <w:bCs/>
          <w:sz w:val="20"/>
          <w:lang w:val="en-US"/>
        </w:rPr>
        <w:t xml:space="preserve"> </w:t>
      </w:r>
      <w:r w:rsidR="00C0712F" w:rsidRPr="0080515B">
        <w:rPr>
          <w:rFonts w:ascii="Gill Sans MT" w:hAnsi="Gill Sans MT" w:cs="Calibri"/>
          <w:bCs/>
          <w:sz w:val="20"/>
          <w:lang w:val="en"/>
        </w:rPr>
        <w:t xml:space="preserve">(“DeA Capital”), a leading independent alternative asset management platform in Italy with a significant pan-European presence, with assets under management  of approximately EUR 27.7 billion and </w:t>
      </w:r>
      <w:hyperlink r:id="rId9">
        <w:r w:rsidR="00C0712F" w:rsidRPr="0080515B">
          <w:rPr>
            <w:rStyle w:val="Collegamentoipertestuale"/>
            <w:rFonts w:ascii="Gill Sans MT" w:hAnsi="Gill Sans MT" w:cs="Calibri"/>
            <w:b/>
            <w:bCs/>
            <w:color w:val="auto"/>
            <w:sz w:val="20"/>
            <w:lang w:val="en"/>
          </w:rPr>
          <w:t>Harrison Street</w:t>
        </w:r>
      </w:hyperlink>
      <w:r w:rsidR="00C0712F" w:rsidRPr="0080515B">
        <w:rPr>
          <w:rFonts w:ascii="Gill Sans MT" w:hAnsi="Gill Sans MT" w:cs="Calibri"/>
          <w:b/>
          <w:bCs/>
          <w:sz w:val="20"/>
          <w:lang w:val="en"/>
        </w:rPr>
        <w:t>,</w:t>
      </w:r>
      <w:r w:rsidR="00C0712F" w:rsidRPr="00C0712F">
        <w:rPr>
          <w:rFonts w:ascii="Gill Sans MT" w:hAnsi="Gill Sans MT" w:cs="Calibri"/>
          <w:bCs/>
          <w:sz w:val="20"/>
          <w:lang w:val="en"/>
        </w:rPr>
        <w:t xml:space="preserve"> one of the leading investment management firms exclusively focused on alternative real assets with approximately $56 billion in assets under management, today announced that their joint venture </w:t>
      </w:r>
      <w:r w:rsidR="00C0712F" w:rsidRPr="0080515B">
        <w:rPr>
          <w:rFonts w:ascii="Gill Sans MT" w:hAnsi="Gill Sans MT" w:cs="Calibri"/>
          <w:b/>
          <w:sz w:val="20"/>
          <w:lang w:val="en"/>
        </w:rPr>
        <w:t>will acquire 430 build-to-rent (“BTR”) units across two new assets in Madrid and Alicante, Spain</w:t>
      </w:r>
      <w:r w:rsidR="00C0712F" w:rsidRPr="00C0712F">
        <w:rPr>
          <w:rFonts w:ascii="Gill Sans MT" w:hAnsi="Gill Sans MT" w:cs="Calibri"/>
          <w:bCs/>
          <w:sz w:val="20"/>
          <w:lang w:val="en"/>
        </w:rPr>
        <w:t xml:space="preserve">. </w:t>
      </w:r>
    </w:p>
    <w:p w14:paraId="2ADE2342" w14:textId="77777777" w:rsidR="00C0712F" w:rsidRPr="00C0712F" w:rsidRDefault="00C0712F" w:rsidP="00C0712F">
      <w:pPr>
        <w:jc w:val="both"/>
        <w:rPr>
          <w:rFonts w:ascii="Gill Sans MT" w:hAnsi="Gill Sans MT" w:cs="Calibri"/>
          <w:bCs/>
          <w:sz w:val="20"/>
          <w:lang w:val="en"/>
        </w:rPr>
      </w:pPr>
    </w:p>
    <w:p w14:paraId="26FB6455" w14:textId="77777777" w:rsidR="00C0712F" w:rsidRPr="00C0712F" w:rsidRDefault="00C0712F" w:rsidP="00C0712F">
      <w:pPr>
        <w:jc w:val="both"/>
        <w:rPr>
          <w:rFonts w:ascii="Gill Sans MT" w:hAnsi="Gill Sans MT" w:cs="Calibri"/>
          <w:bCs/>
          <w:sz w:val="20"/>
          <w:lang w:val="en"/>
        </w:rPr>
      </w:pPr>
      <w:r w:rsidRPr="00C0712F">
        <w:rPr>
          <w:rFonts w:ascii="Gill Sans MT" w:hAnsi="Gill Sans MT" w:cs="Calibri"/>
          <w:bCs/>
          <w:sz w:val="20"/>
          <w:lang w:val="en"/>
        </w:rPr>
        <w:t xml:space="preserve">The acquisition helps address the increasing need for affordable residential assets for rent across Spain. The property in </w:t>
      </w:r>
      <w:r w:rsidRPr="0080515B">
        <w:rPr>
          <w:rFonts w:ascii="Gill Sans MT" w:hAnsi="Gill Sans MT" w:cs="Calibri"/>
          <w:b/>
          <w:sz w:val="20"/>
          <w:lang w:val="en"/>
        </w:rPr>
        <w:t>Madrid</w:t>
      </w:r>
      <w:r w:rsidRPr="00C0712F">
        <w:rPr>
          <w:rFonts w:ascii="Gill Sans MT" w:hAnsi="Gill Sans MT" w:cs="Calibri"/>
          <w:bCs/>
          <w:sz w:val="20"/>
          <w:lang w:val="en"/>
        </w:rPr>
        <w:t xml:space="preserve">, located in the desirable San Sebastián de los Reyes neighborhood, comprises </w:t>
      </w:r>
      <w:r w:rsidRPr="0080515B">
        <w:rPr>
          <w:rFonts w:ascii="Gill Sans MT" w:hAnsi="Gill Sans MT" w:cs="Calibri"/>
          <w:b/>
          <w:sz w:val="20"/>
          <w:lang w:val="en"/>
        </w:rPr>
        <w:t xml:space="preserve">146 units </w:t>
      </w:r>
      <w:r w:rsidRPr="00C0712F">
        <w:rPr>
          <w:rFonts w:ascii="Gill Sans MT" w:hAnsi="Gill Sans MT" w:cs="Calibri"/>
          <w:bCs/>
          <w:sz w:val="20"/>
          <w:lang w:val="en"/>
        </w:rPr>
        <w:t xml:space="preserve">with high-quality amenities, including a swimming pool, gym, coworking area, concierge, events </w:t>
      </w:r>
      <w:proofErr w:type="gramStart"/>
      <w:r w:rsidRPr="00C0712F">
        <w:rPr>
          <w:rFonts w:ascii="Gill Sans MT" w:hAnsi="Gill Sans MT" w:cs="Calibri"/>
          <w:bCs/>
          <w:sz w:val="20"/>
          <w:lang w:val="en"/>
        </w:rPr>
        <w:t>kitchen</w:t>
      </w:r>
      <w:proofErr w:type="gramEnd"/>
      <w:r w:rsidRPr="00C0712F">
        <w:rPr>
          <w:rFonts w:ascii="Gill Sans MT" w:hAnsi="Gill Sans MT" w:cs="Calibri"/>
          <w:bCs/>
          <w:sz w:val="20"/>
          <w:lang w:val="en"/>
        </w:rPr>
        <w:t xml:space="preserve"> and underground parking. The </w:t>
      </w:r>
      <w:r w:rsidRPr="0080515B">
        <w:rPr>
          <w:rFonts w:ascii="Gill Sans MT" w:hAnsi="Gill Sans MT" w:cs="Calibri"/>
          <w:b/>
          <w:sz w:val="20"/>
          <w:lang w:val="en"/>
        </w:rPr>
        <w:t xml:space="preserve">Alicante </w:t>
      </w:r>
      <w:r w:rsidRPr="00C0712F">
        <w:rPr>
          <w:rFonts w:ascii="Gill Sans MT" w:hAnsi="Gill Sans MT" w:cs="Calibri"/>
          <w:bCs/>
          <w:sz w:val="20"/>
          <w:lang w:val="en"/>
        </w:rPr>
        <w:t xml:space="preserve">property, located in Benissaudet, comprises </w:t>
      </w:r>
      <w:r w:rsidRPr="0080515B">
        <w:rPr>
          <w:rFonts w:ascii="Gill Sans MT" w:hAnsi="Gill Sans MT" w:cs="Calibri"/>
          <w:b/>
          <w:sz w:val="20"/>
          <w:lang w:val="en"/>
        </w:rPr>
        <w:t>284 units</w:t>
      </w:r>
      <w:r w:rsidRPr="00C0712F">
        <w:rPr>
          <w:rFonts w:ascii="Gill Sans MT" w:hAnsi="Gill Sans MT" w:cs="Calibri"/>
          <w:bCs/>
          <w:sz w:val="20"/>
          <w:lang w:val="en"/>
        </w:rPr>
        <w:t xml:space="preserve"> with two phases of renovation planned, which is expected to be completed by Q4 2025. </w:t>
      </w:r>
    </w:p>
    <w:p w14:paraId="1544E40D" w14:textId="77777777" w:rsidR="00C0712F" w:rsidRPr="00C0712F" w:rsidRDefault="00C0712F" w:rsidP="00C0712F">
      <w:pPr>
        <w:jc w:val="both"/>
        <w:rPr>
          <w:rFonts w:ascii="Gill Sans MT" w:hAnsi="Gill Sans MT" w:cs="Calibri"/>
          <w:bCs/>
          <w:sz w:val="20"/>
          <w:lang w:val="en"/>
        </w:rPr>
      </w:pPr>
    </w:p>
    <w:p w14:paraId="0EED9207" w14:textId="77777777" w:rsidR="00C0712F" w:rsidRDefault="00C0712F" w:rsidP="00C0712F">
      <w:pPr>
        <w:jc w:val="both"/>
        <w:rPr>
          <w:rFonts w:ascii="Gill Sans MT" w:hAnsi="Gill Sans MT" w:cs="Calibri"/>
          <w:bCs/>
          <w:sz w:val="20"/>
          <w:lang w:val="en"/>
        </w:rPr>
      </w:pPr>
      <w:r w:rsidRPr="0080515B">
        <w:rPr>
          <w:rFonts w:ascii="Gill Sans MT" w:hAnsi="Gill Sans MT" w:cs="Calibri"/>
          <w:b/>
          <w:sz w:val="20"/>
          <w:lang w:val="en"/>
        </w:rPr>
        <w:t>Paul Bashir, Chief Executive Officer of Harrison Street’s European business</w:t>
      </w:r>
      <w:r w:rsidRPr="00C0712F">
        <w:rPr>
          <w:rFonts w:ascii="Gill Sans MT" w:hAnsi="Gill Sans MT" w:cs="Calibri"/>
          <w:bCs/>
          <w:sz w:val="20"/>
          <w:lang w:val="en"/>
        </w:rPr>
        <w:t>, said, “We’re thrilled to expand our partnership with DeA Capital to bring these two new assets to Madrid and Alicante. As the demand for modern, amenitized and affordable housing continues to grow in Spain, we have worked with DeA Capital to expand our presence and identify attractive BTR properties in key metropolitan areas with significant growth potential. We look forward to further identifying high-quality rental housing in key European markets with strong supply-demand fundamentals and working with our partners to address the growing need for quality housing across the region.”</w:t>
      </w:r>
    </w:p>
    <w:p w14:paraId="0B8DDD57" w14:textId="77777777" w:rsidR="00F54394" w:rsidRDefault="00F54394" w:rsidP="00C0712F">
      <w:pPr>
        <w:jc w:val="both"/>
        <w:rPr>
          <w:rFonts w:ascii="Gill Sans MT" w:hAnsi="Gill Sans MT" w:cs="Calibri"/>
          <w:bCs/>
          <w:sz w:val="20"/>
          <w:lang w:val="en"/>
        </w:rPr>
      </w:pPr>
    </w:p>
    <w:p w14:paraId="62B8A5DB" w14:textId="77777777" w:rsidR="00F54394" w:rsidRPr="00C0712F" w:rsidRDefault="00F54394" w:rsidP="00F54394">
      <w:pPr>
        <w:jc w:val="both"/>
        <w:rPr>
          <w:rFonts w:ascii="Gill Sans MT" w:hAnsi="Gill Sans MT" w:cs="Calibri"/>
          <w:bCs/>
          <w:sz w:val="20"/>
          <w:lang w:val="en"/>
        </w:rPr>
      </w:pPr>
      <w:r w:rsidRPr="0080515B">
        <w:rPr>
          <w:rFonts w:ascii="Gill Sans MT" w:hAnsi="Gill Sans MT" w:cs="Calibri"/>
          <w:b/>
          <w:sz w:val="20"/>
          <w:lang w:val="en"/>
        </w:rPr>
        <w:t xml:space="preserve">Emanuele Caniggia, Chief Executive Officer of DeA Capital Real Estate </w:t>
      </w:r>
      <w:proofErr w:type="gramStart"/>
      <w:r w:rsidRPr="0080515B">
        <w:rPr>
          <w:rFonts w:ascii="Gill Sans MT" w:hAnsi="Gill Sans MT" w:cs="Calibri"/>
          <w:b/>
          <w:sz w:val="20"/>
          <w:lang w:val="en"/>
        </w:rPr>
        <w:t>SGR</w:t>
      </w:r>
      <w:proofErr w:type="gramEnd"/>
      <w:r w:rsidRPr="0080515B">
        <w:rPr>
          <w:rFonts w:ascii="Gill Sans MT" w:hAnsi="Gill Sans MT" w:cs="Calibri"/>
          <w:b/>
          <w:sz w:val="20"/>
          <w:lang w:val="en"/>
        </w:rPr>
        <w:t xml:space="preserve"> and Head of Real Estate at DeA Capital</w:t>
      </w:r>
      <w:r w:rsidRPr="00532FA9">
        <w:rPr>
          <w:rFonts w:ascii="Gill Sans MT" w:hAnsi="Gill Sans MT" w:cs="Calibri"/>
          <w:bCs/>
          <w:sz w:val="20"/>
          <w:lang w:val="en"/>
        </w:rPr>
        <w:t xml:space="preserve"> said: "This transaction demonstrates the continued and steady expansion of DeA Capital's real estate platform abroad. It is another important step that contributes to consolidating our track record and laying the foundations for our continued presence in all asset classes of the European real estate sector."</w:t>
      </w:r>
    </w:p>
    <w:p w14:paraId="60BFA1A4" w14:textId="77777777" w:rsidR="00F54394" w:rsidRPr="00C0712F" w:rsidRDefault="00F54394" w:rsidP="00F54394">
      <w:pPr>
        <w:jc w:val="both"/>
        <w:rPr>
          <w:rFonts w:ascii="Gill Sans MT" w:hAnsi="Gill Sans MT" w:cs="Calibri"/>
          <w:bCs/>
          <w:sz w:val="20"/>
          <w:lang w:val="en"/>
        </w:rPr>
      </w:pPr>
    </w:p>
    <w:p w14:paraId="0805AF27" w14:textId="77777777" w:rsidR="00C0712F" w:rsidRDefault="00C0712F" w:rsidP="00C0712F">
      <w:pPr>
        <w:jc w:val="both"/>
        <w:rPr>
          <w:rFonts w:ascii="Gill Sans MT" w:hAnsi="Gill Sans MT" w:cs="Calibri"/>
          <w:bCs/>
          <w:sz w:val="20"/>
          <w:lang w:val="en"/>
        </w:rPr>
      </w:pPr>
      <w:r w:rsidRPr="0080515B">
        <w:rPr>
          <w:rFonts w:ascii="Gill Sans MT" w:hAnsi="Gill Sans MT" w:cs="Calibri"/>
          <w:b/>
          <w:sz w:val="20"/>
          <w:lang w:val="en"/>
        </w:rPr>
        <w:t>Koldo Ibarra, Chief Executive Officer of DeA Capital Real Estate Iberia</w:t>
      </w:r>
      <w:r w:rsidRPr="00C0712F">
        <w:rPr>
          <w:rFonts w:ascii="Gill Sans MT" w:hAnsi="Gill Sans MT" w:cs="Calibri"/>
          <w:bCs/>
          <w:sz w:val="20"/>
          <w:lang w:val="en"/>
        </w:rPr>
        <w:t xml:space="preserve"> said: “It is ingrained in DeA Capital's DNA to foster long-lasting relationships with our partners. We equip our joint ventures with adept teams that manage operations with ESG integrity and excel in technical quality, leading to exceptional outcomes.” </w:t>
      </w:r>
    </w:p>
    <w:p w14:paraId="51626018" w14:textId="77777777" w:rsidR="00532FA9" w:rsidRDefault="00532FA9" w:rsidP="00C0712F">
      <w:pPr>
        <w:jc w:val="both"/>
        <w:rPr>
          <w:rFonts w:ascii="Gill Sans MT" w:hAnsi="Gill Sans MT" w:cs="Calibri"/>
          <w:bCs/>
          <w:sz w:val="20"/>
          <w:lang w:val="en"/>
        </w:rPr>
      </w:pPr>
    </w:p>
    <w:p w14:paraId="400B1EAD" w14:textId="7FDA5813" w:rsidR="00C0712F" w:rsidRPr="00C0712F" w:rsidRDefault="00C0712F" w:rsidP="00C0712F">
      <w:pPr>
        <w:jc w:val="both"/>
        <w:rPr>
          <w:rFonts w:ascii="Gill Sans MT" w:hAnsi="Gill Sans MT" w:cs="Calibri"/>
          <w:bCs/>
          <w:sz w:val="20"/>
          <w:lang w:val="en"/>
        </w:rPr>
      </w:pPr>
      <w:r w:rsidRPr="0080515B">
        <w:rPr>
          <w:rFonts w:ascii="Gill Sans MT" w:hAnsi="Gill Sans MT" w:cs="Calibri"/>
          <w:b/>
          <w:sz w:val="20"/>
          <w:lang w:val="en"/>
        </w:rPr>
        <w:t>Emanuele Dubini, CIO &amp; Head of International Business</w:t>
      </w:r>
      <w:r w:rsidRPr="0080515B" w:rsidDel="00E97E29">
        <w:rPr>
          <w:rFonts w:ascii="Gill Sans MT" w:hAnsi="Gill Sans MT" w:cs="Calibri"/>
          <w:b/>
          <w:sz w:val="20"/>
          <w:lang w:val="en"/>
        </w:rPr>
        <w:t xml:space="preserve"> </w:t>
      </w:r>
      <w:r w:rsidRPr="0080515B">
        <w:rPr>
          <w:rFonts w:ascii="Gill Sans MT" w:hAnsi="Gill Sans MT" w:cs="Calibri"/>
          <w:b/>
          <w:sz w:val="20"/>
          <w:lang w:val="en"/>
        </w:rPr>
        <w:t>of DeA Capital Real Estate</w:t>
      </w:r>
      <w:r>
        <w:rPr>
          <w:rFonts w:ascii="Gill Sans MT" w:hAnsi="Gill Sans MT" w:cs="Calibri"/>
          <w:bCs/>
          <w:sz w:val="20"/>
          <w:lang w:val="en"/>
        </w:rPr>
        <w:t xml:space="preserve"> </w:t>
      </w:r>
      <w:r w:rsidRPr="00C0712F">
        <w:rPr>
          <w:rFonts w:ascii="Gill Sans MT" w:hAnsi="Gill Sans MT" w:cs="Calibri"/>
          <w:bCs/>
          <w:sz w:val="20"/>
          <w:lang w:val="en"/>
        </w:rPr>
        <w:t xml:space="preserve">stated: “Together, DeA Capital and Harrison Street successfully crafted a sustainable residential strategy for our enduring partnership and our shared goal is to offer families access for years to come. I take great pride in the remarkable work accomplished by all the teams involved. One team, one goal!” </w:t>
      </w:r>
    </w:p>
    <w:p w14:paraId="05A4A679" w14:textId="77777777" w:rsidR="00C0712F" w:rsidRPr="00C0712F" w:rsidRDefault="00C0712F" w:rsidP="00C0712F">
      <w:pPr>
        <w:jc w:val="both"/>
        <w:rPr>
          <w:rFonts w:ascii="Gill Sans MT" w:hAnsi="Gill Sans MT" w:cs="Calibri"/>
          <w:bCs/>
          <w:sz w:val="20"/>
          <w:lang w:val="en"/>
        </w:rPr>
      </w:pPr>
    </w:p>
    <w:p w14:paraId="18931859" w14:textId="77777777" w:rsidR="00C0712F" w:rsidRPr="00C0712F" w:rsidRDefault="00C0712F" w:rsidP="00C0712F">
      <w:pPr>
        <w:jc w:val="both"/>
        <w:rPr>
          <w:rFonts w:ascii="Gill Sans MT" w:hAnsi="Gill Sans MT" w:cs="Calibri"/>
          <w:bCs/>
          <w:i/>
          <w:iCs/>
          <w:sz w:val="20"/>
          <w:lang w:val="en-US"/>
        </w:rPr>
      </w:pPr>
      <w:r w:rsidRPr="00C0712F">
        <w:rPr>
          <w:rFonts w:ascii="Gill Sans MT" w:hAnsi="Gill Sans MT" w:cs="Calibri"/>
          <w:bCs/>
          <w:sz w:val="20"/>
          <w:lang w:val="en"/>
        </w:rPr>
        <w:t xml:space="preserve">This acquisition expands the partnership between Harrison Street and DeA Capital’s joint venture that will operate under the name of </w:t>
      </w:r>
      <w:r w:rsidRPr="0080515B">
        <w:rPr>
          <w:rFonts w:ascii="Gill Sans MT" w:hAnsi="Gill Sans MT" w:cs="Calibri"/>
          <w:b/>
          <w:sz w:val="20"/>
          <w:lang w:val="en"/>
        </w:rPr>
        <w:t>LAVIDDA</w:t>
      </w:r>
      <w:r w:rsidRPr="00C0712F">
        <w:rPr>
          <w:rFonts w:ascii="Gill Sans MT" w:hAnsi="Gill Sans MT" w:cs="Calibri"/>
          <w:bCs/>
          <w:sz w:val="20"/>
          <w:lang w:val="en"/>
        </w:rPr>
        <w:t xml:space="preserve">, a brand designed to launch a new concept of "build-to-rent", which will project a new housing management and way of living. </w:t>
      </w:r>
      <w:r w:rsidRPr="00C0712F">
        <w:rPr>
          <w:rFonts w:ascii="Gill Sans MT" w:hAnsi="Gill Sans MT" w:cs="Calibri"/>
          <w:bCs/>
          <w:sz w:val="20"/>
          <w:lang w:val="en-US"/>
        </w:rPr>
        <w:t xml:space="preserve">A more youthful, </w:t>
      </w:r>
      <w:proofErr w:type="gramStart"/>
      <w:r w:rsidRPr="00C0712F">
        <w:rPr>
          <w:rFonts w:ascii="Gill Sans MT" w:hAnsi="Gill Sans MT" w:cs="Calibri"/>
          <w:bCs/>
          <w:sz w:val="20"/>
          <w:lang w:val="en-US"/>
        </w:rPr>
        <w:t>open</w:t>
      </w:r>
      <w:proofErr w:type="gramEnd"/>
      <w:r w:rsidRPr="00C0712F">
        <w:rPr>
          <w:rFonts w:ascii="Gill Sans MT" w:hAnsi="Gill Sans MT" w:cs="Calibri"/>
          <w:bCs/>
          <w:sz w:val="20"/>
          <w:lang w:val="en-US"/>
        </w:rPr>
        <w:t xml:space="preserve"> and free way that will also offer a livelier and more dynamic social environment.</w:t>
      </w:r>
    </w:p>
    <w:p w14:paraId="5E19BE23" w14:textId="77777777" w:rsidR="00C0712F" w:rsidRPr="00C0712F" w:rsidRDefault="00C0712F" w:rsidP="00C0712F">
      <w:pPr>
        <w:jc w:val="both"/>
        <w:rPr>
          <w:rFonts w:ascii="Gill Sans MT" w:hAnsi="Gill Sans MT" w:cs="Calibri"/>
          <w:bCs/>
          <w:sz w:val="20"/>
          <w:lang w:val="en-US"/>
        </w:rPr>
      </w:pPr>
    </w:p>
    <w:p w14:paraId="1CA01A36" w14:textId="77777777" w:rsidR="00C0712F" w:rsidRPr="00C0712F" w:rsidRDefault="00C0712F" w:rsidP="00C0712F">
      <w:pPr>
        <w:jc w:val="both"/>
        <w:rPr>
          <w:rFonts w:ascii="Gill Sans MT" w:hAnsi="Gill Sans MT" w:cs="Calibri"/>
          <w:bCs/>
          <w:sz w:val="20"/>
          <w:lang w:val="en"/>
        </w:rPr>
      </w:pPr>
      <w:r w:rsidRPr="00C0712F">
        <w:rPr>
          <w:rFonts w:ascii="Gill Sans MT" w:hAnsi="Gill Sans MT" w:cs="Calibri"/>
          <w:bCs/>
          <w:sz w:val="20"/>
          <w:lang w:val="en"/>
        </w:rPr>
        <w:lastRenderedPageBreak/>
        <w:t>With a focus on innovation, sustainability, and customer satisfaction, LAVIDDA is committed to achieving a significant milestone in the evolution of the BTR market in Spain and enhancing the living experience of tenants.</w:t>
      </w:r>
    </w:p>
    <w:p w14:paraId="451A46C2" w14:textId="77777777" w:rsidR="00C0712F" w:rsidRPr="00C0712F" w:rsidRDefault="00C0712F" w:rsidP="00C0712F">
      <w:pPr>
        <w:jc w:val="both"/>
        <w:rPr>
          <w:rFonts w:ascii="Gill Sans MT" w:hAnsi="Gill Sans MT" w:cs="Calibri"/>
          <w:bCs/>
          <w:i/>
          <w:iCs/>
          <w:sz w:val="20"/>
          <w:lang w:val="en"/>
        </w:rPr>
      </w:pPr>
    </w:p>
    <w:p w14:paraId="1C1962B6" w14:textId="119A1F25" w:rsidR="00C0712F" w:rsidRPr="00C0712F" w:rsidRDefault="00C0712F" w:rsidP="00C0712F">
      <w:pPr>
        <w:jc w:val="both"/>
        <w:rPr>
          <w:rFonts w:ascii="Gill Sans MT" w:hAnsi="Gill Sans MT" w:cs="Calibri"/>
          <w:bCs/>
          <w:sz w:val="20"/>
          <w:lang w:val="en"/>
        </w:rPr>
      </w:pPr>
      <w:r w:rsidRPr="00C0712F">
        <w:rPr>
          <w:rFonts w:ascii="Gill Sans MT" w:hAnsi="Gill Sans MT" w:cs="Calibri"/>
          <w:bCs/>
          <w:sz w:val="20"/>
          <w:lang w:val="en"/>
        </w:rPr>
        <w:t>Since its inception last year, LAVIDDA currently manages eight projects for a total of 1,634 dwellings, which include seven projects under development and one project in operation. As the brand continues to expand, it is expected to manage 3,000 dwellings by 2025. LAVIDDA projects feature all-inclusive luxury amenities including a 24-hour concierge, gym, resident lounge, swimming pool, pad</w:t>
      </w:r>
      <w:r w:rsidR="006C0A9E">
        <w:rPr>
          <w:rFonts w:ascii="Gill Sans MT" w:hAnsi="Gill Sans MT" w:cs="Calibri"/>
          <w:bCs/>
          <w:sz w:val="20"/>
          <w:lang w:val="en"/>
        </w:rPr>
        <w:t>el</w:t>
      </w:r>
      <w:r w:rsidRPr="00C0712F">
        <w:rPr>
          <w:rFonts w:ascii="Gill Sans MT" w:hAnsi="Gill Sans MT" w:cs="Calibri"/>
          <w:bCs/>
          <w:sz w:val="20"/>
          <w:lang w:val="en"/>
        </w:rPr>
        <w:t xml:space="preserve"> court area, cinema room, and tenant app, as well as private terraces, gardens, co-working spaces, and a courtyard. </w:t>
      </w:r>
    </w:p>
    <w:p w14:paraId="14EC989E" w14:textId="77777777" w:rsidR="00C0712F" w:rsidRPr="00C0712F" w:rsidRDefault="00C0712F" w:rsidP="00C0712F">
      <w:pPr>
        <w:jc w:val="both"/>
        <w:rPr>
          <w:rFonts w:ascii="Gill Sans MT" w:hAnsi="Gill Sans MT" w:cs="Calibri"/>
          <w:bCs/>
          <w:sz w:val="20"/>
          <w:lang w:val="en"/>
        </w:rPr>
      </w:pPr>
    </w:p>
    <w:p w14:paraId="53A7973A" w14:textId="77777777" w:rsidR="00C0712F" w:rsidRPr="00C0712F" w:rsidRDefault="00C0712F" w:rsidP="00C0712F">
      <w:pPr>
        <w:jc w:val="both"/>
        <w:rPr>
          <w:rFonts w:ascii="Gill Sans MT" w:hAnsi="Gill Sans MT" w:cs="Calibri"/>
          <w:bCs/>
          <w:sz w:val="20"/>
          <w:lang w:val="en"/>
        </w:rPr>
      </w:pPr>
      <w:r w:rsidRPr="00C0712F">
        <w:rPr>
          <w:rFonts w:ascii="Gill Sans MT" w:hAnsi="Gill Sans MT" w:cs="Calibri"/>
          <w:bCs/>
          <w:sz w:val="20"/>
          <w:lang w:val="en"/>
        </w:rPr>
        <w:t>This joint venture will allow both companies to combine their expertise and resources to offer tenants a diverse range of high-quality rental housing specifically designed to meet the changing needs of the rental market.</w:t>
      </w:r>
    </w:p>
    <w:p w14:paraId="355BDB28" w14:textId="77777777" w:rsidR="00C0712F" w:rsidRPr="00C0712F" w:rsidRDefault="00C0712F" w:rsidP="00C0712F">
      <w:pPr>
        <w:jc w:val="both"/>
        <w:rPr>
          <w:rFonts w:ascii="Gill Sans MT" w:hAnsi="Gill Sans MT" w:cs="Calibri"/>
          <w:bCs/>
          <w:sz w:val="20"/>
          <w:lang w:val="en"/>
        </w:rPr>
      </w:pPr>
    </w:p>
    <w:p w14:paraId="1FF35384" w14:textId="268E7739" w:rsidR="00C0712F" w:rsidRPr="00C0712F" w:rsidRDefault="00C0712F" w:rsidP="00C0712F">
      <w:pPr>
        <w:jc w:val="both"/>
        <w:rPr>
          <w:rFonts w:ascii="Gill Sans MT" w:hAnsi="Gill Sans MT" w:cs="Calibri"/>
          <w:bCs/>
          <w:sz w:val="20"/>
          <w:lang w:val="en"/>
        </w:rPr>
      </w:pPr>
      <w:r w:rsidRPr="00C0712F">
        <w:rPr>
          <w:rFonts w:ascii="Gill Sans MT" w:hAnsi="Gill Sans MT" w:cs="Calibri"/>
          <w:bCs/>
          <w:sz w:val="20"/>
          <w:lang w:val="en"/>
        </w:rPr>
        <w:t>Harrison Street is among the most active investors in alternative real estate sectors</w:t>
      </w:r>
      <w:r w:rsidR="00532FA9">
        <w:rPr>
          <w:rFonts w:ascii="Gill Sans MT" w:hAnsi="Gill Sans MT" w:cs="Calibri"/>
          <w:bCs/>
          <w:sz w:val="20"/>
          <w:lang w:val="en"/>
        </w:rPr>
        <w:t xml:space="preserve"> - </w:t>
      </w:r>
      <w:r w:rsidRPr="00C0712F">
        <w:rPr>
          <w:rFonts w:ascii="Gill Sans MT" w:hAnsi="Gill Sans MT" w:cs="Calibri"/>
          <w:bCs/>
          <w:sz w:val="20"/>
          <w:lang w:val="en"/>
        </w:rPr>
        <w:t>including student accommodation, build-to-rent residential, and life sciences</w:t>
      </w:r>
      <w:r w:rsidR="00532FA9">
        <w:rPr>
          <w:rFonts w:ascii="Gill Sans MT" w:hAnsi="Gill Sans MT" w:cs="Calibri"/>
          <w:bCs/>
          <w:sz w:val="20"/>
          <w:lang w:val="en"/>
        </w:rPr>
        <w:t xml:space="preserve"> - </w:t>
      </w:r>
      <w:r w:rsidRPr="00C0712F">
        <w:rPr>
          <w:rFonts w:ascii="Gill Sans MT" w:hAnsi="Gill Sans MT" w:cs="Calibri"/>
          <w:bCs/>
          <w:sz w:val="20"/>
          <w:lang w:val="en"/>
        </w:rPr>
        <w:t xml:space="preserve">in Europe. Since launching its European strategy in 2015, Harrison Street has acquired or developed 87 assets, including over 20,900 student accommodation beds, and approximately 2.1 million square feet of life sciences space. The Firm’s build-to-rent experience in Europe includes 16 assets totaling approximately 6,050 units across the UK, </w:t>
      </w:r>
      <w:proofErr w:type="gramStart"/>
      <w:r w:rsidRPr="00C0712F">
        <w:rPr>
          <w:rFonts w:ascii="Gill Sans MT" w:hAnsi="Gill Sans MT" w:cs="Calibri"/>
          <w:bCs/>
          <w:sz w:val="20"/>
          <w:lang w:val="en"/>
        </w:rPr>
        <w:t>Spain</w:t>
      </w:r>
      <w:proofErr w:type="gramEnd"/>
      <w:r w:rsidRPr="00C0712F">
        <w:rPr>
          <w:rFonts w:ascii="Gill Sans MT" w:hAnsi="Gill Sans MT" w:cs="Calibri"/>
          <w:bCs/>
          <w:sz w:val="20"/>
          <w:lang w:val="en"/>
        </w:rPr>
        <w:t xml:space="preserve"> and Ireland.</w:t>
      </w:r>
    </w:p>
    <w:p w14:paraId="54D7BB74" w14:textId="77777777" w:rsidR="00C0712F" w:rsidRPr="00C0712F" w:rsidRDefault="00C0712F" w:rsidP="00C0712F">
      <w:pPr>
        <w:jc w:val="both"/>
        <w:rPr>
          <w:rFonts w:ascii="Gill Sans MT" w:hAnsi="Gill Sans MT" w:cs="Calibri"/>
          <w:bCs/>
          <w:sz w:val="18"/>
          <w:szCs w:val="22"/>
          <w:lang w:val="en"/>
        </w:rPr>
      </w:pPr>
    </w:p>
    <w:p w14:paraId="733F3C6F" w14:textId="77777777" w:rsidR="00C0712F" w:rsidRPr="00C0712F" w:rsidRDefault="00C0712F" w:rsidP="00C0712F">
      <w:pPr>
        <w:jc w:val="both"/>
        <w:rPr>
          <w:rFonts w:ascii="Gill Sans MT" w:hAnsi="Gill Sans MT" w:cs="Calibri"/>
          <w:bCs/>
          <w:sz w:val="20"/>
          <w:lang w:val="en"/>
        </w:rPr>
      </w:pPr>
    </w:p>
    <w:p w14:paraId="2156099F" w14:textId="77777777" w:rsidR="00C0712F" w:rsidRPr="00C0712F" w:rsidRDefault="00C0712F" w:rsidP="00C0712F">
      <w:pPr>
        <w:jc w:val="both"/>
        <w:rPr>
          <w:rFonts w:ascii="Gill Sans MT" w:hAnsi="Gill Sans MT" w:cs="Calibri"/>
          <w:bCs/>
          <w:sz w:val="20"/>
          <w:lang w:val="en"/>
        </w:rPr>
      </w:pPr>
    </w:p>
    <w:p w14:paraId="7CBBD17B" w14:textId="77777777" w:rsidR="00C0712F" w:rsidRPr="00532FA9" w:rsidRDefault="00C0712F" w:rsidP="00C0712F">
      <w:pPr>
        <w:jc w:val="both"/>
        <w:rPr>
          <w:rFonts w:ascii="Gill Sans MT" w:hAnsi="Gill Sans MT" w:cs="Calibri"/>
          <w:b/>
          <w:bCs/>
          <w:i/>
          <w:iCs/>
          <w:sz w:val="20"/>
          <w:lang w:val="en"/>
        </w:rPr>
      </w:pPr>
      <w:r w:rsidRPr="00532FA9">
        <w:rPr>
          <w:rFonts w:ascii="Gill Sans MT" w:hAnsi="Gill Sans MT" w:cs="Calibri"/>
          <w:b/>
          <w:bCs/>
          <w:i/>
          <w:iCs/>
          <w:sz w:val="20"/>
          <w:lang w:val="en"/>
        </w:rPr>
        <w:t xml:space="preserve">About DeA Capital </w:t>
      </w:r>
    </w:p>
    <w:p w14:paraId="4C6048C7" w14:textId="77777777" w:rsidR="00C0712F" w:rsidRPr="00532FA9" w:rsidRDefault="00C0712F" w:rsidP="00C0712F">
      <w:pPr>
        <w:jc w:val="both"/>
        <w:rPr>
          <w:rFonts w:ascii="Gill Sans MT" w:hAnsi="Gill Sans MT" w:cs="Calibri"/>
          <w:bCs/>
          <w:i/>
          <w:iCs/>
          <w:sz w:val="20"/>
          <w:lang w:val="en"/>
        </w:rPr>
      </w:pPr>
      <w:r w:rsidRPr="00532FA9">
        <w:rPr>
          <w:rFonts w:ascii="Gill Sans MT" w:hAnsi="Gill Sans MT" w:cs="Calibri"/>
          <w:bCs/>
          <w:i/>
          <w:iCs/>
          <w:sz w:val="20"/>
          <w:lang w:val="en"/>
        </w:rPr>
        <w:t xml:space="preserve">DeA Capital S.p.A., a subsidiary of De Agostini S.p.A., is the leading independent Italian player in the Alternative Asset Management sector (for assets under management), with a significant pan-European presence and combined assets under management of approximately EUR 27.7 billion. The Group Platform – concentrated on the two subsidiaries, DeA Capital Real Estate </w:t>
      </w:r>
      <w:proofErr w:type="gramStart"/>
      <w:r w:rsidRPr="00532FA9">
        <w:rPr>
          <w:rFonts w:ascii="Gill Sans MT" w:hAnsi="Gill Sans MT" w:cs="Calibri"/>
          <w:bCs/>
          <w:i/>
          <w:iCs/>
          <w:sz w:val="20"/>
          <w:lang w:val="en"/>
        </w:rPr>
        <w:t>SGR</w:t>
      </w:r>
      <w:proofErr w:type="gramEnd"/>
      <w:r w:rsidRPr="00532FA9">
        <w:rPr>
          <w:rFonts w:ascii="Gill Sans MT" w:hAnsi="Gill Sans MT" w:cs="Calibri"/>
          <w:bCs/>
          <w:i/>
          <w:iCs/>
          <w:sz w:val="20"/>
          <w:lang w:val="en"/>
        </w:rPr>
        <w:t xml:space="preserve"> and DeA Capital Alternative Funds SGR, as well as on the related indirect majority investment in Quaestio Capital SGR – is engaged in the promotion, management and development of real estate, private equity and credit investment funds, as well as in multiasset/multi-manager solutions for institutional investors. For more information, please visit </w:t>
      </w:r>
      <w:hyperlink r:id="rId10">
        <w:r w:rsidRPr="00532FA9">
          <w:rPr>
            <w:rStyle w:val="Collegamentoipertestuale"/>
            <w:rFonts w:ascii="Gill Sans MT" w:hAnsi="Gill Sans MT" w:cs="Calibri"/>
            <w:bCs/>
            <w:i/>
            <w:iCs/>
            <w:sz w:val="20"/>
            <w:lang w:val="en"/>
          </w:rPr>
          <w:t>https://www.deacapital.com/</w:t>
        </w:r>
      </w:hyperlink>
      <w:r w:rsidRPr="00532FA9">
        <w:rPr>
          <w:rFonts w:ascii="Gill Sans MT" w:hAnsi="Gill Sans MT" w:cs="Calibri"/>
          <w:bCs/>
          <w:i/>
          <w:iCs/>
          <w:sz w:val="20"/>
          <w:lang w:val="en"/>
        </w:rPr>
        <w:t>.</w:t>
      </w:r>
    </w:p>
    <w:p w14:paraId="24D4E61E" w14:textId="77777777" w:rsidR="00C0712F" w:rsidRPr="00532FA9" w:rsidRDefault="00C0712F" w:rsidP="00C0712F">
      <w:pPr>
        <w:jc w:val="both"/>
        <w:rPr>
          <w:rFonts w:ascii="Gill Sans MT" w:hAnsi="Gill Sans MT" w:cs="Calibri"/>
          <w:bCs/>
          <w:i/>
          <w:iCs/>
          <w:sz w:val="20"/>
          <w:lang w:val="en"/>
        </w:rPr>
      </w:pPr>
    </w:p>
    <w:p w14:paraId="1722690D" w14:textId="77777777" w:rsidR="00C0712F" w:rsidRPr="00532FA9" w:rsidRDefault="00C0712F" w:rsidP="00C0712F">
      <w:pPr>
        <w:jc w:val="both"/>
        <w:rPr>
          <w:rFonts w:ascii="Gill Sans MT" w:hAnsi="Gill Sans MT" w:cs="Calibri"/>
          <w:bCs/>
          <w:i/>
          <w:iCs/>
          <w:sz w:val="20"/>
          <w:lang w:val="en"/>
        </w:rPr>
      </w:pPr>
    </w:p>
    <w:p w14:paraId="4C463211" w14:textId="77777777" w:rsidR="00C0712F" w:rsidRPr="00532FA9" w:rsidRDefault="00C0712F" w:rsidP="00C0712F">
      <w:pPr>
        <w:jc w:val="both"/>
        <w:rPr>
          <w:rFonts w:ascii="Gill Sans MT" w:hAnsi="Gill Sans MT" w:cs="Calibri"/>
          <w:b/>
          <w:bCs/>
          <w:i/>
          <w:iCs/>
          <w:sz w:val="20"/>
          <w:lang w:val="en"/>
        </w:rPr>
      </w:pPr>
      <w:r w:rsidRPr="00532FA9">
        <w:rPr>
          <w:rFonts w:ascii="Gill Sans MT" w:hAnsi="Gill Sans MT" w:cs="Calibri"/>
          <w:b/>
          <w:bCs/>
          <w:i/>
          <w:iCs/>
          <w:sz w:val="20"/>
          <w:lang w:val="en"/>
        </w:rPr>
        <w:t>About Harrison Street</w:t>
      </w:r>
    </w:p>
    <w:p w14:paraId="3BFB85FA" w14:textId="77777777" w:rsidR="00C0712F" w:rsidRPr="00532FA9" w:rsidRDefault="00C0712F" w:rsidP="00C0712F">
      <w:pPr>
        <w:jc w:val="both"/>
        <w:rPr>
          <w:rFonts w:ascii="Gill Sans MT" w:hAnsi="Gill Sans MT" w:cs="Calibri"/>
          <w:bCs/>
          <w:i/>
          <w:iCs/>
          <w:sz w:val="20"/>
          <w:lang w:val="en"/>
        </w:rPr>
      </w:pPr>
      <w:r w:rsidRPr="00532FA9">
        <w:rPr>
          <w:rFonts w:ascii="Gill Sans MT" w:hAnsi="Gill Sans MT" w:cs="Calibri"/>
          <w:bCs/>
          <w:i/>
          <w:iCs/>
          <w:sz w:val="20"/>
          <w:lang w:val="en"/>
        </w:rPr>
        <w:t xml:space="preserve">Harrison Street is one of the leading investment management firms exclusively focused on alternative real assets. Since inception in 2005, the Firm has created a series of differentiated investment solutions focused on demographic-driven, needs-based assets. The Firm has invested across senior housing, student housing, healthcare delivery, life sciences and storage real estate as well as social and utility infrastructure. Headquartered in Chicago and London, with offices throughout North America, Europe and Asia, the Firm has more than 260-employees and approximately $56 billion in assets under management. Clients of the firm include a global institutional investor base domiciled in North America, Europe, Middle East, </w:t>
      </w:r>
      <w:proofErr w:type="gramStart"/>
      <w:r w:rsidRPr="00532FA9">
        <w:rPr>
          <w:rFonts w:ascii="Gill Sans MT" w:hAnsi="Gill Sans MT" w:cs="Calibri"/>
          <w:bCs/>
          <w:i/>
          <w:iCs/>
          <w:sz w:val="20"/>
          <w:lang w:val="en"/>
        </w:rPr>
        <w:t>Asia</w:t>
      </w:r>
      <w:proofErr w:type="gramEnd"/>
      <w:r w:rsidRPr="00532FA9">
        <w:rPr>
          <w:rFonts w:ascii="Gill Sans MT" w:hAnsi="Gill Sans MT" w:cs="Calibri"/>
          <w:bCs/>
          <w:i/>
          <w:iCs/>
          <w:sz w:val="20"/>
          <w:lang w:val="en"/>
        </w:rPr>
        <w:t xml:space="preserve"> and Latin America. Harrison Street was awarded Best Places to Work by</w:t>
      </w:r>
      <w:r w:rsidRPr="00532FA9">
        <w:rPr>
          <w:rFonts w:ascii="Arial" w:hAnsi="Arial" w:cs="Arial"/>
          <w:bCs/>
          <w:i/>
          <w:iCs/>
          <w:sz w:val="20"/>
          <w:lang w:val="en"/>
        </w:rPr>
        <w:t> </w:t>
      </w:r>
      <w:r w:rsidRPr="00532FA9">
        <w:rPr>
          <w:rFonts w:ascii="Gill Sans MT" w:hAnsi="Gill Sans MT" w:cs="Calibri"/>
          <w:bCs/>
          <w:i/>
          <w:iCs/>
          <w:sz w:val="20"/>
          <w:lang w:val="en"/>
        </w:rPr>
        <w:t>Pensions &amp; Investments</w:t>
      </w:r>
      <w:r w:rsidRPr="00532FA9">
        <w:rPr>
          <w:rFonts w:ascii="Arial" w:hAnsi="Arial" w:cs="Arial"/>
          <w:bCs/>
          <w:i/>
          <w:iCs/>
          <w:sz w:val="20"/>
          <w:lang w:val="en"/>
        </w:rPr>
        <w:t> </w:t>
      </w:r>
      <w:r w:rsidRPr="00532FA9">
        <w:rPr>
          <w:rFonts w:ascii="Gill Sans MT" w:hAnsi="Gill Sans MT" w:cs="Calibri"/>
          <w:bCs/>
          <w:i/>
          <w:iCs/>
          <w:sz w:val="20"/>
          <w:lang w:val="en"/>
        </w:rPr>
        <w:t xml:space="preserve">for eight years (2014-2020, 2022) and has won multiple awards from PRER, including five for the 2022 Awards: Alternatives Investor of the Year – Global, Industry Figure of the Year- Global, Residential Investor of the Year – Global, Data Centers Investor of the Year – Global, and Residential Investor of the Year- North America. For more information, please visit </w:t>
      </w:r>
      <w:hyperlink r:id="rId11">
        <w:r w:rsidRPr="00532FA9">
          <w:rPr>
            <w:rStyle w:val="Collegamentoipertestuale"/>
            <w:rFonts w:ascii="Gill Sans MT" w:hAnsi="Gill Sans MT" w:cs="Calibri"/>
            <w:bCs/>
            <w:i/>
            <w:iCs/>
            <w:sz w:val="20"/>
            <w:lang w:val="en"/>
          </w:rPr>
          <w:t>www.harrisonst.com</w:t>
        </w:r>
      </w:hyperlink>
      <w:r w:rsidRPr="00532FA9">
        <w:rPr>
          <w:rFonts w:ascii="Gill Sans MT" w:hAnsi="Gill Sans MT" w:cs="Calibri"/>
          <w:bCs/>
          <w:i/>
          <w:iCs/>
          <w:sz w:val="20"/>
          <w:lang w:val="en"/>
        </w:rPr>
        <w:t>.</w:t>
      </w:r>
    </w:p>
    <w:p w14:paraId="06ECFA2D" w14:textId="77777777" w:rsidR="00C0712F" w:rsidRDefault="00C0712F" w:rsidP="00C0712F">
      <w:pPr>
        <w:jc w:val="both"/>
        <w:rPr>
          <w:rFonts w:ascii="Gill Sans MT" w:hAnsi="Gill Sans MT" w:cs="Calibri"/>
          <w:bCs/>
          <w:sz w:val="20"/>
          <w:lang w:val="en"/>
        </w:rPr>
      </w:pPr>
    </w:p>
    <w:p w14:paraId="5273F943" w14:textId="77777777" w:rsidR="00C0712F" w:rsidRPr="00392CD3" w:rsidRDefault="00C0712F" w:rsidP="00C0712F">
      <w:pPr>
        <w:pStyle w:val="Intestazione"/>
        <w:tabs>
          <w:tab w:val="clear" w:pos="4819"/>
          <w:tab w:val="clear" w:pos="9638"/>
        </w:tabs>
        <w:jc w:val="both"/>
        <w:rPr>
          <w:rFonts w:ascii="Gill Sans MT" w:hAnsi="Gill Sans MT" w:cs="Calibri Light"/>
          <w:sz w:val="20"/>
          <w:szCs w:val="20"/>
          <w:lang w:val="en-US"/>
        </w:rPr>
      </w:pPr>
      <w:r w:rsidRPr="00392CD3">
        <w:rPr>
          <w:rFonts w:ascii="Gill Sans MT" w:hAnsi="Gill Sans MT" w:cs="Calibri Light"/>
          <w:b/>
          <w:sz w:val="20"/>
          <w:szCs w:val="20"/>
          <w:lang w:val="en-US"/>
        </w:rPr>
        <w:t>For further information please contact:</w:t>
      </w:r>
    </w:p>
    <w:p w14:paraId="462E5296" w14:textId="77777777" w:rsidR="00C0712F" w:rsidRPr="00392CD3" w:rsidRDefault="00C0712F" w:rsidP="00C0712F">
      <w:pPr>
        <w:jc w:val="both"/>
        <w:rPr>
          <w:rFonts w:ascii="Gill Sans MT" w:eastAsia="Arial Unicode MS" w:hAnsi="Gill Sans MT" w:cs="Arial"/>
          <w:bCs/>
          <w:sz w:val="18"/>
          <w:szCs w:val="22"/>
          <w:lang w:val="en-US"/>
        </w:rPr>
      </w:pPr>
      <w:r w:rsidRPr="00392CD3">
        <w:rPr>
          <w:rFonts w:ascii="Gill Sans MT" w:eastAsia="Arial Unicode MS" w:hAnsi="Gill Sans MT" w:cs="Arial"/>
          <w:bCs/>
          <w:sz w:val="18"/>
          <w:szCs w:val="22"/>
          <w:lang w:val="en-US"/>
        </w:rPr>
        <w:t>Communication and Press DeA Capital S.p.A.</w:t>
      </w:r>
    </w:p>
    <w:p w14:paraId="7A2316C3" w14:textId="77777777" w:rsidR="00C0712F" w:rsidRPr="00B81B87" w:rsidRDefault="00C0712F" w:rsidP="00C0712F">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 xml:space="preserve">Marco Scopigno, </w:t>
      </w:r>
      <w:hyperlink r:id="rId12" w:history="1">
        <w:r w:rsidRPr="007530DD">
          <w:rPr>
            <w:rStyle w:val="Collegamentoipertestuale"/>
            <w:rFonts w:ascii="Gill Sans MT" w:eastAsia="Arial Unicode MS" w:hAnsi="Gill Sans MT" w:cs="Arial"/>
            <w:bCs/>
            <w:sz w:val="18"/>
            <w:szCs w:val="22"/>
          </w:rPr>
          <w:t>marco.scopigno@deacapital.com</w:t>
        </w:r>
      </w:hyperlink>
      <w:r w:rsidRPr="00B81B87">
        <w:rPr>
          <w:rFonts w:ascii="Gill Sans MT" w:eastAsia="Arial Unicode MS" w:hAnsi="Gill Sans MT" w:cs="Arial"/>
          <w:bCs/>
          <w:sz w:val="18"/>
          <w:szCs w:val="22"/>
        </w:rPr>
        <w:t>,</w:t>
      </w:r>
    </w:p>
    <w:p w14:paraId="2F2D219D" w14:textId="77777777" w:rsidR="00C0712F" w:rsidRPr="00B81B87" w:rsidRDefault="00C0712F" w:rsidP="00C0712F">
      <w:pPr>
        <w:jc w:val="both"/>
        <w:rPr>
          <w:rFonts w:ascii="Gill Sans MT" w:eastAsia="Arial Unicode MS" w:hAnsi="Gill Sans MT" w:cs="Arial"/>
          <w:bCs/>
          <w:sz w:val="18"/>
          <w:szCs w:val="22"/>
        </w:rPr>
      </w:pPr>
      <w:r>
        <w:rPr>
          <w:rFonts w:ascii="Gill Sans MT" w:eastAsia="Arial Unicode MS" w:hAnsi="Gill Sans MT" w:cs="Arial"/>
          <w:bCs/>
          <w:sz w:val="18"/>
          <w:szCs w:val="22"/>
        </w:rPr>
        <w:t>ph</w:t>
      </w:r>
      <w:r w:rsidRPr="00B81B87">
        <w:rPr>
          <w:rFonts w:ascii="Gill Sans MT" w:eastAsia="Arial Unicode MS" w:hAnsi="Gill Sans MT" w:cs="Arial"/>
          <w:bCs/>
          <w:sz w:val="18"/>
          <w:szCs w:val="22"/>
        </w:rPr>
        <w:t>. +39 06 68163206 / 348 0173826</w:t>
      </w:r>
    </w:p>
    <w:p w14:paraId="716F57BA" w14:textId="77777777" w:rsidR="00C0712F" w:rsidRDefault="00C0712F" w:rsidP="00C0712F">
      <w:pPr>
        <w:jc w:val="both"/>
        <w:rPr>
          <w:rFonts w:ascii="Gill Sans MT" w:eastAsia="Arial Unicode MS" w:hAnsi="Gill Sans MT" w:cs="Arial"/>
          <w:bCs/>
          <w:sz w:val="18"/>
          <w:szCs w:val="22"/>
        </w:rPr>
      </w:pPr>
      <w:r>
        <w:rPr>
          <w:rFonts w:ascii="Gill Sans MT" w:eastAsia="Arial Unicode MS" w:hAnsi="Gill Sans MT" w:cs="Arial"/>
          <w:bCs/>
          <w:sz w:val="18"/>
          <w:szCs w:val="22"/>
        </w:rPr>
        <w:t xml:space="preserve">Anna Majocchi, </w:t>
      </w:r>
      <w:hyperlink r:id="rId13" w:history="1">
        <w:r w:rsidRPr="007F468F">
          <w:rPr>
            <w:rStyle w:val="Collegamentoipertestuale"/>
            <w:rFonts w:ascii="Gill Sans MT" w:eastAsia="Arial Unicode MS" w:hAnsi="Gill Sans MT" w:cs="Arial"/>
            <w:bCs/>
            <w:sz w:val="18"/>
            <w:szCs w:val="22"/>
          </w:rPr>
          <w:t>anna.majocchi@deacapital.com</w:t>
        </w:r>
      </w:hyperlink>
    </w:p>
    <w:p w14:paraId="578576A7" w14:textId="77777777" w:rsidR="00C0712F" w:rsidRPr="00392CD3" w:rsidRDefault="00C0712F" w:rsidP="00C0712F">
      <w:pPr>
        <w:jc w:val="both"/>
        <w:rPr>
          <w:rFonts w:ascii="Gill Sans MT" w:eastAsia="Arial Unicode MS" w:hAnsi="Gill Sans MT" w:cs="Arial"/>
          <w:bCs/>
          <w:sz w:val="18"/>
          <w:szCs w:val="22"/>
          <w:lang w:val="en-US"/>
        </w:rPr>
      </w:pPr>
      <w:r w:rsidRPr="00392CD3">
        <w:rPr>
          <w:rFonts w:ascii="Gill Sans MT" w:eastAsia="Arial Unicode MS" w:hAnsi="Gill Sans MT" w:cs="Arial"/>
          <w:bCs/>
          <w:sz w:val="18"/>
          <w:szCs w:val="22"/>
          <w:lang w:val="en-US"/>
        </w:rPr>
        <w:t>ph. +39 02 62499529 /335 7616715</w:t>
      </w:r>
    </w:p>
    <w:p w14:paraId="3625B6B7" w14:textId="77777777" w:rsidR="00C0712F" w:rsidRPr="00392CD3" w:rsidRDefault="00C0712F" w:rsidP="00C0712F">
      <w:pPr>
        <w:jc w:val="both"/>
        <w:rPr>
          <w:rFonts w:ascii="Gill Sans MT" w:eastAsia="Arial Unicode MS" w:hAnsi="Gill Sans MT" w:cs="Arial"/>
          <w:bCs/>
          <w:sz w:val="18"/>
          <w:szCs w:val="22"/>
          <w:lang w:val="en-US"/>
        </w:rPr>
      </w:pPr>
      <w:r w:rsidRPr="00392CD3">
        <w:rPr>
          <w:rFonts w:ascii="Gill Sans MT" w:eastAsia="Arial Unicode MS" w:hAnsi="Gill Sans MT" w:cs="Arial"/>
          <w:bCs/>
          <w:sz w:val="18"/>
          <w:szCs w:val="22"/>
          <w:lang w:val="en-US"/>
        </w:rPr>
        <w:t>Communication and Press DeA Capital Real Estate SGR S.p.A.</w:t>
      </w:r>
    </w:p>
    <w:p w14:paraId="5FDF6059" w14:textId="77777777" w:rsidR="00C0712F" w:rsidRDefault="00C0712F" w:rsidP="00C0712F">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 xml:space="preserve">Beatrice Mori, </w:t>
      </w:r>
      <w:hyperlink r:id="rId14" w:history="1">
        <w:r w:rsidRPr="007F468F">
          <w:rPr>
            <w:rStyle w:val="Collegamentoipertestuale"/>
            <w:rFonts w:ascii="Gill Sans MT" w:eastAsia="Arial Unicode MS" w:hAnsi="Gill Sans MT" w:cs="Arial"/>
            <w:bCs/>
            <w:sz w:val="18"/>
            <w:szCs w:val="22"/>
          </w:rPr>
          <w:t>beatrice.mori@deacapital.com</w:t>
        </w:r>
      </w:hyperlink>
    </w:p>
    <w:p w14:paraId="102E11F7" w14:textId="77777777" w:rsidR="00C0712F" w:rsidRPr="00C0712F" w:rsidRDefault="00C0712F" w:rsidP="00C0712F">
      <w:pPr>
        <w:jc w:val="both"/>
        <w:rPr>
          <w:rFonts w:ascii="Gill Sans MT" w:hAnsi="Gill Sans MT" w:cs="Calibri"/>
          <w:bCs/>
          <w:sz w:val="20"/>
        </w:rPr>
      </w:pPr>
    </w:p>
    <w:p w14:paraId="3D850477" w14:textId="77777777" w:rsidR="00E662A7" w:rsidRPr="00E626E0" w:rsidRDefault="00E662A7" w:rsidP="00E662A7">
      <w:pPr>
        <w:jc w:val="both"/>
        <w:rPr>
          <w:rFonts w:ascii="Gill Sans MT" w:hAnsi="Gill Sans MT" w:cs="Calibri Light"/>
          <w:vanish/>
          <w:sz w:val="18"/>
          <w:szCs w:val="18"/>
        </w:rPr>
      </w:pPr>
    </w:p>
    <w:bookmarkEnd w:id="0"/>
    <w:sectPr w:rsidR="00E662A7" w:rsidRPr="00E626E0" w:rsidSect="00F62956">
      <w:headerReference w:type="default" r:id="rId15"/>
      <w:footerReference w:type="even" r:id="rId16"/>
      <w:footerReference w:type="default" r:id="rId17"/>
      <w:type w:val="continuous"/>
      <w:pgSz w:w="11906" w:h="16838"/>
      <w:pgMar w:top="2155" w:right="1418" w:bottom="2268"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17EE" w14:textId="77777777" w:rsidR="00E30B3E" w:rsidRDefault="00E30B3E" w:rsidP="007606BC">
      <w:r>
        <w:separator/>
      </w:r>
    </w:p>
    <w:p w14:paraId="7F440369" w14:textId="77777777" w:rsidR="00E30B3E" w:rsidRDefault="00E30B3E"/>
  </w:endnote>
  <w:endnote w:type="continuationSeparator" w:id="0">
    <w:p w14:paraId="1A03F894" w14:textId="77777777" w:rsidR="00E30B3E" w:rsidRDefault="00E30B3E" w:rsidP="007606BC">
      <w:r>
        <w:continuationSeparator/>
      </w:r>
    </w:p>
    <w:p w14:paraId="25640BAD" w14:textId="77777777" w:rsidR="00E30B3E" w:rsidRDefault="00E30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24421710"/>
      <w:docPartObj>
        <w:docPartGallery w:val="Page Numbers (Bottom of Page)"/>
        <w:docPartUnique/>
      </w:docPartObj>
    </w:sdtPr>
    <w:sdtEndPr>
      <w:rPr>
        <w:rStyle w:val="Numeropagina"/>
      </w:rPr>
    </w:sdtEndPr>
    <w:sdtContent>
      <w:p w14:paraId="1220E67F" w14:textId="4A3B2747" w:rsidR="006961A9" w:rsidRDefault="006961A9" w:rsidP="009254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9F377F" w14:textId="77777777" w:rsidR="006961A9" w:rsidRDefault="006961A9" w:rsidP="006961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Gill Sans MT" w:hAnsi="Gill Sans MT"/>
        <w:color w:val="002E63"/>
        <w:sz w:val="13"/>
        <w:szCs w:val="13"/>
      </w:rPr>
      <w:id w:val="987904071"/>
      <w:docPartObj>
        <w:docPartGallery w:val="Page Numbers (Bottom of Page)"/>
        <w:docPartUnique/>
      </w:docPartObj>
    </w:sdtPr>
    <w:sdtEndPr>
      <w:rPr>
        <w:rStyle w:val="Numeropagina"/>
      </w:rPr>
    </w:sdtEndPr>
    <w:sdtContent>
      <w:p w14:paraId="180E9257" w14:textId="77777777" w:rsidR="006961A9" w:rsidRPr="005F2AF3" w:rsidRDefault="006961A9" w:rsidP="00C6090D">
        <w:pPr>
          <w:pStyle w:val="Pidipagina"/>
          <w:framePr w:w="373" w:wrap="none" w:vAnchor="text" w:hAnchor="page" w:x="9874" w:y="-1239"/>
          <w:jc w:val="center"/>
          <w:rPr>
            <w:rStyle w:val="Numeropagina"/>
            <w:rFonts w:ascii="Gill Sans MT" w:hAnsi="Gill Sans MT"/>
            <w:color w:val="002E63"/>
            <w:sz w:val="13"/>
            <w:szCs w:val="13"/>
          </w:rPr>
        </w:pPr>
        <w:r w:rsidRPr="005F2AF3">
          <w:rPr>
            <w:rStyle w:val="Numeropagina"/>
            <w:rFonts w:ascii="Gill Sans MT" w:hAnsi="Gill Sans MT"/>
            <w:color w:val="002E63"/>
            <w:sz w:val="13"/>
            <w:szCs w:val="13"/>
          </w:rPr>
          <w:fldChar w:fldCharType="begin"/>
        </w:r>
        <w:r w:rsidRPr="005F2AF3">
          <w:rPr>
            <w:rStyle w:val="Numeropagina"/>
            <w:rFonts w:ascii="Gill Sans MT" w:hAnsi="Gill Sans MT"/>
            <w:color w:val="002E63"/>
            <w:sz w:val="13"/>
            <w:szCs w:val="13"/>
          </w:rPr>
          <w:instrText xml:space="preserve"> PAGE </w:instrText>
        </w:r>
        <w:r w:rsidRPr="005F2AF3">
          <w:rPr>
            <w:rStyle w:val="Numeropagina"/>
            <w:rFonts w:ascii="Gill Sans MT" w:hAnsi="Gill Sans MT"/>
            <w:color w:val="002E63"/>
            <w:sz w:val="13"/>
            <w:szCs w:val="13"/>
          </w:rPr>
          <w:fldChar w:fldCharType="separate"/>
        </w:r>
        <w:r w:rsidRPr="005F2AF3">
          <w:rPr>
            <w:rStyle w:val="Numeropagina"/>
            <w:rFonts w:ascii="Gill Sans MT" w:hAnsi="Gill Sans MT"/>
            <w:noProof/>
            <w:color w:val="002E63"/>
            <w:sz w:val="13"/>
            <w:szCs w:val="13"/>
          </w:rPr>
          <w:t>2</w:t>
        </w:r>
        <w:r w:rsidRPr="005F2AF3">
          <w:rPr>
            <w:rStyle w:val="Numeropagina"/>
            <w:rFonts w:ascii="Gill Sans MT" w:hAnsi="Gill Sans MT"/>
            <w:color w:val="002E63"/>
            <w:sz w:val="13"/>
            <w:szCs w:val="13"/>
          </w:rPr>
          <w:fldChar w:fldCharType="end"/>
        </w:r>
      </w:p>
    </w:sdtContent>
  </w:sdt>
  <w:p w14:paraId="14E28329" w14:textId="2FE7336D" w:rsidR="00F9687D" w:rsidRPr="00C25BBE" w:rsidRDefault="00113684" w:rsidP="005F2AF3">
    <w:pPr>
      <w:pStyle w:val="Testonormale"/>
      <w:tabs>
        <w:tab w:val="left" w:pos="3402"/>
        <w:tab w:val="left" w:pos="6804"/>
      </w:tabs>
      <w:ind w:left="-426" w:right="360"/>
      <w:jc w:val="center"/>
      <w:rPr>
        <w:color w:val="002E63"/>
      </w:rPr>
    </w:pPr>
    <w:r>
      <w:rPr>
        <w:rFonts w:ascii="Verdana" w:hAnsi="Verdana"/>
        <w:noProof/>
        <w:color w:val="002E63"/>
      </w:rPr>
      <mc:AlternateContent>
        <mc:Choice Requires="wps">
          <w:drawing>
            <wp:anchor distT="0" distB="0" distL="114300" distR="114300" simplePos="0" relativeHeight="251662336" behindDoc="0" locked="0" layoutInCell="1" allowOverlap="1" wp14:anchorId="746527E8" wp14:editId="23E4FBE3">
              <wp:simplePos x="0" y="0"/>
              <wp:positionH relativeFrom="column">
                <wp:posOffset>-156511</wp:posOffset>
              </wp:positionH>
              <wp:positionV relativeFrom="paragraph">
                <wp:posOffset>-409048</wp:posOffset>
              </wp:positionV>
              <wp:extent cx="5925185" cy="751668"/>
              <wp:effectExtent l="0" t="0" r="0" b="0"/>
              <wp:wrapNone/>
              <wp:docPr id="17" name="Casella di testo 17"/>
              <wp:cNvGraphicFramePr/>
              <a:graphic xmlns:a="http://schemas.openxmlformats.org/drawingml/2006/main">
                <a:graphicData uri="http://schemas.microsoft.com/office/word/2010/wordprocessingShape">
                  <wps:wsp>
                    <wps:cNvSpPr txBox="1"/>
                    <wps:spPr>
                      <a:xfrm>
                        <a:off x="0" y="0"/>
                        <a:ext cx="5925185" cy="751668"/>
                      </a:xfrm>
                      <a:prstGeom prst="rect">
                        <a:avLst/>
                      </a:prstGeom>
                      <a:noFill/>
                      <a:ln w="6350">
                        <a:noFill/>
                      </a:ln>
                    </wps:spPr>
                    <wps:txb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w:t>
                          </w:r>
                          <w:proofErr w:type="gramStart"/>
                          <w:r w:rsidRPr="00113684">
                            <w:rPr>
                              <w:rFonts w:ascii="Gill Sans MT" w:hAnsi="Gill Sans MT"/>
                              <w:color w:val="002E63"/>
                              <w:sz w:val="15"/>
                              <w:szCs w:val="15"/>
                            </w:rPr>
                            <w:t>39  06</w:t>
                          </w:r>
                          <w:proofErr w:type="gramEnd"/>
                          <w:r w:rsidRPr="00113684">
                            <w:rPr>
                              <w:rFonts w:ascii="Gill Sans MT" w:hAnsi="Gill Sans MT"/>
                              <w:color w:val="002E63"/>
                              <w:sz w:val="15"/>
                              <w:szCs w:val="15"/>
                            </w:rPr>
                            <w:t xml:space="preserve">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27E8" id="_x0000_t202" coordsize="21600,21600" o:spt="202" path="m,l,21600r21600,l21600,xe">
              <v:stroke joinstyle="miter"/>
              <v:path gradientshapeok="t" o:connecttype="rect"/>
            </v:shapetype>
            <v:shape id="Casella di testo 17" o:spid="_x0000_s1026" type="#_x0000_t202" style="position:absolute;left:0;text-align:left;margin-left:-12.3pt;margin-top:-32.2pt;width:466.55pt;height:5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" filled="f" stroked="f" strokeweight=".5pt">
              <v:textbo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w:t>
                    </w:r>
                    <w:proofErr w:type="gramStart"/>
                    <w:r w:rsidRPr="00113684">
                      <w:rPr>
                        <w:rFonts w:ascii="Gill Sans MT" w:hAnsi="Gill Sans MT"/>
                        <w:color w:val="002E63"/>
                        <w:sz w:val="15"/>
                        <w:szCs w:val="15"/>
                      </w:rPr>
                      <w:t>39  06</w:t>
                    </w:r>
                    <w:proofErr w:type="gramEnd"/>
                    <w:r w:rsidRPr="00113684">
                      <w:rPr>
                        <w:rFonts w:ascii="Gill Sans MT" w:hAnsi="Gill Sans MT"/>
                        <w:color w:val="002E63"/>
                        <w:sz w:val="15"/>
                        <w:szCs w:val="15"/>
                      </w:rPr>
                      <w:t xml:space="preserve">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v:textbox>
            </v:shape>
          </w:pict>
        </mc:Fallback>
      </mc:AlternateContent>
    </w:r>
    <w:r w:rsidR="00C6090D">
      <w:rPr>
        <w:rFonts w:ascii="Verdana" w:hAnsi="Verdana"/>
        <w:noProof/>
        <w:color w:val="002E63"/>
      </w:rPr>
      <w:drawing>
        <wp:anchor distT="0" distB="0" distL="114300" distR="114300" simplePos="0" relativeHeight="251667456" behindDoc="1" locked="0" layoutInCell="1" allowOverlap="1" wp14:anchorId="736CE3E8" wp14:editId="027C6D17">
          <wp:simplePos x="0" y="0"/>
          <wp:positionH relativeFrom="margin">
            <wp:align>center</wp:align>
          </wp:positionH>
          <wp:positionV relativeFrom="paragraph">
            <wp:posOffset>-749300</wp:posOffset>
          </wp:positionV>
          <wp:extent cx="5759450" cy="164465"/>
          <wp:effectExtent l="0" t="0" r="6350" b="63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1">
                    <a:extLst>
                      <a:ext uri="{28A0092B-C50C-407E-A947-70E740481C1C}">
                        <a14:useLocalDpi xmlns:a14="http://schemas.microsoft.com/office/drawing/2010/main" val="0"/>
                      </a:ext>
                    </a:extLst>
                  </a:blip>
                  <a:stretch>
                    <a:fillRect/>
                  </a:stretch>
                </pic:blipFill>
                <pic:spPr>
                  <a:xfrm>
                    <a:off x="0" y="0"/>
                    <a:ext cx="5759450" cy="1644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DDD1" w14:textId="77777777" w:rsidR="00E30B3E" w:rsidRDefault="00E30B3E" w:rsidP="007606BC">
      <w:r>
        <w:separator/>
      </w:r>
    </w:p>
    <w:p w14:paraId="52C787CC" w14:textId="77777777" w:rsidR="00E30B3E" w:rsidRDefault="00E30B3E"/>
  </w:footnote>
  <w:footnote w:type="continuationSeparator" w:id="0">
    <w:p w14:paraId="71BFDEDC" w14:textId="77777777" w:rsidR="00E30B3E" w:rsidRDefault="00E30B3E" w:rsidP="007606BC">
      <w:r>
        <w:continuationSeparator/>
      </w:r>
    </w:p>
    <w:p w14:paraId="68D5A0D2" w14:textId="77777777" w:rsidR="00E30B3E" w:rsidRDefault="00E30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DF7" w14:textId="3DE4F969" w:rsidR="007606BC" w:rsidRDefault="009901D9">
    <w:pPr>
      <w:pStyle w:val="Intestazione"/>
    </w:pPr>
    <w:r w:rsidRPr="00AD115F">
      <w:rPr>
        <w:rFonts w:ascii="Gill Sans MT" w:hAnsi="Gill Sans MT"/>
        <w:noProof/>
        <w:sz w:val="22"/>
      </w:rPr>
      <w:drawing>
        <wp:anchor distT="0" distB="0" distL="114300" distR="114300" simplePos="0" relativeHeight="251659264" behindDoc="0" locked="0" layoutInCell="1" allowOverlap="1" wp14:anchorId="2810272D" wp14:editId="06220DB2">
          <wp:simplePos x="0" y="0"/>
          <wp:positionH relativeFrom="margin">
            <wp:align>center</wp:align>
          </wp:positionH>
          <wp:positionV relativeFrom="margin">
            <wp:posOffset>-936625</wp:posOffset>
          </wp:positionV>
          <wp:extent cx="1637665" cy="868680"/>
          <wp:effectExtent l="0" t="0" r="0" b="0"/>
          <wp:wrapSquare wrapText="bothSides"/>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magine 1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766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AF3">
      <w:rPr>
        <w:rFonts w:ascii="Gill Sans MT" w:hAnsi="Gill Sans MT"/>
        <w:noProof/>
        <w:sz w:val="22"/>
      </w:rPr>
      <w:drawing>
        <wp:anchor distT="0" distB="0" distL="114300" distR="114300" simplePos="0" relativeHeight="251666432" behindDoc="1" locked="0" layoutInCell="1" allowOverlap="1" wp14:anchorId="587E4C10" wp14:editId="121170CB">
          <wp:simplePos x="0" y="0"/>
          <wp:positionH relativeFrom="margin">
            <wp:align>center</wp:align>
          </wp:positionH>
          <wp:positionV relativeFrom="paragraph">
            <wp:posOffset>-205213</wp:posOffset>
          </wp:positionV>
          <wp:extent cx="5760000" cy="142889"/>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2">
                    <a:extLst>
                      <a:ext uri="{28A0092B-C50C-407E-A947-70E740481C1C}">
                        <a14:useLocalDpi xmlns:a14="http://schemas.microsoft.com/office/drawing/2010/main" val="0"/>
                      </a:ext>
                    </a:extLst>
                  </a:blip>
                  <a:stretch>
                    <a:fillRect/>
                  </a:stretch>
                </pic:blipFill>
                <pic:spPr>
                  <a:xfrm>
                    <a:off x="0" y="0"/>
                    <a:ext cx="5760000" cy="1428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20E"/>
    <w:multiLevelType w:val="hybridMultilevel"/>
    <w:tmpl w:val="29BEE41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D714EF"/>
    <w:multiLevelType w:val="hybridMultilevel"/>
    <w:tmpl w:val="36C20696"/>
    <w:lvl w:ilvl="0" w:tplc="04090001">
      <w:start w:val="1"/>
      <w:numFmt w:val="bullet"/>
      <w:lvlText w:val=""/>
      <w:lvlJc w:val="left"/>
      <w:pPr>
        <w:ind w:left="2345" w:hanging="360"/>
      </w:pPr>
      <w:rPr>
        <w:rFonts w:ascii="Symbol" w:hAnsi="Symbol" w:hint="default"/>
        <w:color w:val="auto"/>
        <w:sz w:val="20"/>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958" w:hanging="360"/>
      </w:pPr>
      <w:rPr>
        <w:rFonts w:ascii="Wingdings" w:hAnsi="Wingdings" w:hint="default"/>
      </w:rPr>
    </w:lvl>
    <w:lvl w:ilvl="3" w:tplc="04100001" w:tentative="1">
      <w:start w:val="1"/>
      <w:numFmt w:val="bullet"/>
      <w:lvlText w:val=""/>
      <w:lvlJc w:val="left"/>
      <w:pPr>
        <w:ind w:left="-238" w:hanging="360"/>
      </w:pPr>
      <w:rPr>
        <w:rFonts w:ascii="Symbol" w:hAnsi="Symbol" w:hint="default"/>
      </w:rPr>
    </w:lvl>
    <w:lvl w:ilvl="4" w:tplc="04100003" w:tentative="1">
      <w:start w:val="1"/>
      <w:numFmt w:val="bullet"/>
      <w:lvlText w:val="o"/>
      <w:lvlJc w:val="left"/>
      <w:pPr>
        <w:ind w:left="482" w:hanging="360"/>
      </w:pPr>
      <w:rPr>
        <w:rFonts w:ascii="Courier New" w:hAnsi="Courier New" w:cs="Courier New" w:hint="default"/>
      </w:rPr>
    </w:lvl>
    <w:lvl w:ilvl="5" w:tplc="04100005" w:tentative="1">
      <w:start w:val="1"/>
      <w:numFmt w:val="bullet"/>
      <w:lvlText w:val=""/>
      <w:lvlJc w:val="left"/>
      <w:pPr>
        <w:ind w:left="1202" w:hanging="360"/>
      </w:pPr>
      <w:rPr>
        <w:rFonts w:ascii="Wingdings" w:hAnsi="Wingdings" w:hint="default"/>
      </w:rPr>
    </w:lvl>
    <w:lvl w:ilvl="6" w:tplc="04100001" w:tentative="1">
      <w:start w:val="1"/>
      <w:numFmt w:val="bullet"/>
      <w:lvlText w:val=""/>
      <w:lvlJc w:val="left"/>
      <w:pPr>
        <w:ind w:left="1922" w:hanging="360"/>
      </w:pPr>
      <w:rPr>
        <w:rFonts w:ascii="Symbol" w:hAnsi="Symbol" w:hint="default"/>
      </w:rPr>
    </w:lvl>
    <w:lvl w:ilvl="7" w:tplc="04100003" w:tentative="1">
      <w:start w:val="1"/>
      <w:numFmt w:val="bullet"/>
      <w:lvlText w:val="o"/>
      <w:lvlJc w:val="left"/>
      <w:pPr>
        <w:ind w:left="2642" w:hanging="360"/>
      </w:pPr>
      <w:rPr>
        <w:rFonts w:ascii="Courier New" w:hAnsi="Courier New" w:cs="Courier New" w:hint="default"/>
      </w:rPr>
    </w:lvl>
    <w:lvl w:ilvl="8" w:tplc="04100005" w:tentative="1">
      <w:start w:val="1"/>
      <w:numFmt w:val="bullet"/>
      <w:lvlText w:val=""/>
      <w:lvlJc w:val="left"/>
      <w:pPr>
        <w:ind w:left="3362" w:hanging="360"/>
      </w:pPr>
      <w:rPr>
        <w:rFonts w:ascii="Wingdings" w:hAnsi="Wingdings" w:hint="default"/>
      </w:rPr>
    </w:lvl>
  </w:abstractNum>
  <w:abstractNum w:abstractNumId="2" w15:restartNumberingAfterBreak="0">
    <w:nsid w:val="07F56881"/>
    <w:multiLevelType w:val="hybridMultilevel"/>
    <w:tmpl w:val="C128C5EE"/>
    <w:lvl w:ilvl="0" w:tplc="04090001">
      <w:start w:val="1"/>
      <w:numFmt w:val="bullet"/>
      <w:lvlText w:val=""/>
      <w:lvlJc w:val="left"/>
      <w:pPr>
        <w:ind w:left="1080" w:hanging="360"/>
      </w:pPr>
      <w:rPr>
        <w:rFonts w:ascii="Symbol" w:hAnsi="Symbol" w:hint="default"/>
        <w:color w:val="auto"/>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E239FA"/>
    <w:multiLevelType w:val="hybridMultilevel"/>
    <w:tmpl w:val="1DF49E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731F"/>
    <w:multiLevelType w:val="hybridMultilevel"/>
    <w:tmpl w:val="358CC896"/>
    <w:lvl w:ilvl="0" w:tplc="0410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7BA0215"/>
    <w:multiLevelType w:val="hybridMultilevel"/>
    <w:tmpl w:val="FF2CE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C5749F"/>
    <w:multiLevelType w:val="hybridMultilevel"/>
    <w:tmpl w:val="76B8E2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0F27E2B"/>
    <w:multiLevelType w:val="hybridMultilevel"/>
    <w:tmpl w:val="352AF742"/>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211"/>
        </w:tabs>
        <w:ind w:left="1211" w:hanging="360"/>
      </w:pPr>
      <w:rPr>
        <w:rFonts w:ascii="Courier New" w:hAnsi="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410AE"/>
    <w:multiLevelType w:val="hybridMultilevel"/>
    <w:tmpl w:val="C354091C"/>
    <w:lvl w:ilvl="0" w:tplc="04090001">
      <w:start w:val="1"/>
      <w:numFmt w:val="bullet"/>
      <w:lvlText w:val=""/>
      <w:lvlJc w:val="left"/>
      <w:pPr>
        <w:ind w:left="720" w:hanging="360"/>
      </w:pPr>
      <w:rPr>
        <w:rFonts w:ascii="Symbol" w:hAnsi="Symbo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0475FC"/>
    <w:multiLevelType w:val="hybridMultilevel"/>
    <w:tmpl w:val="B2027C58"/>
    <w:lvl w:ilvl="0" w:tplc="CC3C9EDA">
      <w:start w:val="1"/>
      <w:numFmt w:val="bullet"/>
      <w:lvlText w:val="o"/>
      <w:lvlJc w:val="left"/>
      <w:pPr>
        <w:ind w:left="1004" w:hanging="360"/>
      </w:pPr>
      <w:rPr>
        <w:rFonts w:ascii="Courier New" w:hAnsi="Courier New" w:cs="Courier New"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E8B2889"/>
    <w:multiLevelType w:val="hybridMultilevel"/>
    <w:tmpl w:val="70BEC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7D40F0"/>
    <w:multiLevelType w:val="hybridMultilevel"/>
    <w:tmpl w:val="064CE796"/>
    <w:lvl w:ilvl="0" w:tplc="0356746E">
      <w:numFmt w:val="bullet"/>
      <w:lvlText w:val="-"/>
      <w:lvlJc w:val="left"/>
      <w:pPr>
        <w:ind w:left="720" w:hanging="360"/>
      </w:pPr>
      <w:rPr>
        <w:rFonts w:ascii="Times New Roman" w:hAnsi="Times New Roman" w:cs="Times New Roman" w:hint="default"/>
        <w:b/>
        <w:i w:val="0"/>
        <w:color w:val="0000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2408">
    <w:abstractNumId w:val="1"/>
  </w:num>
  <w:num w:numId="2" w16cid:durableId="320431161">
    <w:abstractNumId w:val="9"/>
  </w:num>
  <w:num w:numId="3" w16cid:durableId="423771504">
    <w:abstractNumId w:val="0"/>
  </w:num>
  <w:num w:numId="4" w16cid:durableId="1145855065">
    <w:abstractNumId w:val="11"/>
  </w:num>
  <w:num w:numId="5" w16cid:durableId="918712081">
    <w:abstractNumId w:val="6"/>
  </w:num>
  <w:num w:numId="6" w16cid:durableId="1071387676">
    <w:abstractNumId w:val="4"/>
  </w:num>
  <w:num w:numId="7" w16cid:durableId="1832408177">
    <w:abstractNumId w:val="8"/>
  </w:num>
  <w:num w:numId="8" w16cid:durableId="2067024810">
    <w:abstractNumId w:val="2"/>
  </w:num>
  <w:num w:numId="9" w16cid:durableId="1225793546">
    <w:abstractNumId w:val="7"/>
  </w:num>
  <w:num w:numId="10" w16cid:durableId="1744913671">
    <w:abstractNumId w:val="3"/>
  </w:num>
  <w:num w:numId="11" w16cid:durableId="1664162726">
    <w:abstractNumId w:val="10"/>
  </w:num>
  <w:num w:numId="12" w16cid:durableId="1936356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BC"/>
    <w:rsid w:val="00062438"/>
    <w:rsid w:val="00094E0A"/>
    <w:rsid w:val="000B518A"/>
    <w:rsid w:val="000C6B44"/>
    <w:rsid w:val="001121DF"/>
    <w:rsid w:val="00113684"/>
    <w:rsid w:val="00145650"/>
    <w:rsid w:val="0014632C"/>
    <w:rsid w:val="00147179"/>
    <w:rsid w:val="001545B3"/>
    <w:rsid w:val="0016342D"/>
    <w:rsid w:val="0017348F"/>
    <w:rsid w:val="001C19C6"/>
    <w:rsid w:val="001D16E6"/>
    <w:rsid w:val="001E07AB"/>
    <w:rsid w:val="001F3729"/>
    <w:rsid w:val="002221CF"/>
    <w:rsid w:val="0023432A"/>
    <w:rsid w:val="00242CCD"/>
    <w:rsid w:val="00246ED0"/>
    <w:rsid w:val="00287C52"/>
    <w:rsid w:val="002C6AF7"/>
    <w:rsid w:val="002C7903"/>
    <w:rsid w:val="00302B21"/>
    <w:rsid w:val="003205DD"/>
    <w:rsid w:val="00333153"/>
    <w:rsid w:val="00353646"/>
    <w:rsid w:val="003546AE"/>
    <w:rsid w:val="003552BE"/>
    <w:rsid w:val="0035775E"/>
    <w:rsid w:val="0038204F"/>
    <w:rsid w:val="003B1834"/>
    <w:rsid w:val="003C2771"/>
    <w:rsid w:val="003D3348"/>
    <w:rsid w:val="00415FBF"/>
    <w:rsid w:val="0043529F"/>
    <w:rsid w:val="004C7C01"/>
    <w:rsid w:val="004E1460"/>
    <w:rsid w:val="004E6EF7"/>
    <w:rsid w:val="004F2E3D"/>
    <w:rsid w:val="00511C62"/>
    <w:rsid w:val="00532FA9"/>
    <w:rsid w:val="00535436"/>
    <w:rsid w:val="00552C38"/>
    <w:rsid w:val="00570C9D"/>
    <w:rsid w:val="00572C84"/>
    <w:rsid w:val="00584421"/>
    <w:rsid w:val="005C7A83"/>
    <w:rsid w:val="005E676E"/>
    <w:rsid w:val="005F2AF3"/>
    <w:rsid w:val="005F30D8"/>
    <w:rsid w:val="005F63FA"/>
    <w:rsid w:val="006264F1"/>
    <w:rsid w:val="00651957"/>
    <w:rsid w:val="00672C64"/>
    <w:rsid w:val="006806E5"/>
    <w:rsid w:val="00694F9C"/>
    <w:rsid w:val="006961A9"/>
    <w:rsid w:val="006B2373"/>
    <w:rsid w:val="006B6F55"/>
    <w:rsid w:val="006C0A9E"/>
    <w:rsid w:val="006D6D06"/>
    <w:rsid w:val="006E3DD8"/>
    <w:rsid w:val="006F0335"/>
    <w:rsid w:val="007141F3"/>
    <w:rsid w:val="007224FD"/>
    <w:rsid w:val="00741F6A"/>
    <w:rsid w:val="007606BC"/>
    <w:rsid w:val="00775105"/>
    <w:rsid w:val="007B7967"/>
    <w:rsid w:val="007D52D5"/>
    <w:rsid w:val="0080515B"/>
    <w:rsid w:val="00805370"/>
    <w:rsid w:val="00824421"/>
    <w:rsid w:val="00850392"/>
    <w:rsid w:val="00853698"/>
    <w:rsid w:val="008561F1"/>
    <w:rsid w:val="00883891"/>
    <w:rsid w:val="00884749"/>
    <w:rsid w:val="00891730"/>
    <w:rsid w:val="00894110"/>
    <w:rsid w:val="00895201"/>
    <w:rsid w:val="008D19AD"/>
    <w:rsid w:val="00900D2D"/>
    <w:rsid w:val="00921918"/>
    <w:rsid w:val="0092408E"/>
    <w:rsid w:val="00942FD7"/>
    <w:rsid w:val="009901D9"/>
    <w:rsid w:val="009A1378"/>
    <w:rsid w:val="009C5C97"/>
    <w:rsid w:val="009D379F"/>
    <w:rsid w:val="00A21EEE"/>
    <w:rsid w:val="00A30CBE"/>
    <w:rsid w:val="00A347AD"/>
    <w:rsid w:val="00A34BA2"/>
    <w:rsid w:val="00A63441"/>
    <w:rsid w:val="00A82CA3"/>
    <w:rsid w:val="00A85BAF"/>
    <w:rsid w:val="00A85E73"/>
    <w:rsid w:val="00A952A0"/>
    <w:rsid w:val="00AC4502"/>
    <w:rsid w:val="00B1325B"/>
    <w:rsid w:val="00B476D2"/>
    <w:rsid w:val="00B55CD3"/>
    <w:rsid w:val="00B81B87"/>
    <w:rsid w:val="00BA74DE"/>
    <w:rsid w:val="00BB6372"/>
    <w:rsid w:val="00BC20D3"/>
    <w:rsid w:val="00BC689D"/>
    <w:rsid w:val="00BD79D9"/>
    <w:rsid w:val="00BE43E7"/>
    <w:rsid w:val="00BF6CCD"/>
    <w:rsid w:val="00C0712F"/>
    <w:rsid w:val="00C1188B"/>
    <w:rsid w:val="00C25BBE"/>
    <w:rsid w:val="00C529BE"/>
    <w:rsid w:val="00C5761A"/>
    <w:rsid w:val="00C6090D"/>
    <w:rsid w:val="00C723B0"/>
    <w:rsid w:val="00CD1A1B"/>
    <w:rsid w:val="00CF6F6C"/>
    <w:rsid w:val="00D078D3"/>
    <w:rsid w:val="00D33EA1"/>
    <w:rsid w:val="00D429FD"/>
    <w:rsid w:val="00DB188F"/>
    <w:rsid w:val="00DE1F6B"/>
    <w:rsid w:val="00DF0A99"/>
    <w:rsid w:val="00DF0CA5"/>
    <w:rsid w:val="00DF528D"/>
    <w:rsid w:val="00E2089E"/>
    <w:rsid w:val="00E22E63"/>
    <w:rsid w:val="00E30B3E"/>
    <w:rsid w:val="00E30D69"/>
    <w:rsid w:val="00E32FE9"/>
    <w:rsid w:val="00E3524E"/>
    <w:rsid w:val="00E56D57"/>
    <w:rsid w:val="00E662A7"/>
    <w:rsid w:val="00E66D02"/>
    <w:rsid w:val="00E7798C"/>
    <w:rsid w:val="00E8325E"/>
    <w:rsid w:val="00E91588"/>
    <w:rsid w:val="00EA1BBD"/>
    <w:rsid w:val="00EA67C7"/>
    <w:rsid w:val="00EE5349"/>
    <w:rsid w:val="00F220DA"/>
    <w:rsid w:val="00F25342"/>
    <w:rsid w:val="00F46BC8"/>
    <w:rsid w:val="00F5103C"/>
    <w:rsid w:val="00F54394"/>
    <w:rsid w:val="00F568D7"/>
    <w:rsid w:val="00F601DF"/>
    <w:rsid w:val="00F62956"/>
    <w:rsid w:val="00F6777E"/>
    <w:rsid w:val="00F83A4E"/>
    <w:rsid w:val="00F90C81"/>
    <w:rsid w:val="00F9687D"/>
    <w:rsid w:val="00FB1AA8"/>
    <w:rsid w:val="00FB2782"/>
    <w:rsid w:val="00FD0DCC"/>
    <w:rsid w:val="00FE2AE5"/>
    <w:rsid w:val="00FF41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9E15"/>
  <w15:chartTrackingRefBased/>
  <w15:docId w15:val="{0EB16565-E5D5-B140-97A8-93F25E66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84"/>
    <w:rPr>
      <w:rFonts w:ascii="Verdana" w:hAnsi="Verdana"/>
      <w:sz w:val="21"/>
    </w:rPr>
  </w:style>
  <w:style w:type="paragraph" w:styleId="Titolo1">
    <w:name w:val="heading 1"/>
    <w:aliases w:val="CS scritta"/>
    <w:basedOn w:val="Normale"/>
    <w:next w:val="Normale"/>
    <w:link w:val="Titolo1Carattere"/>
    <w:uiPriority w:val="9"/>
    <w:qFormat/>
    <w:rsid w:val="003205DD"/>
    <w:pPr>
      <w:jc w:val="center"/>
      <w:outlineLvl w:val="0"/>
    </w:pPr>
    <w:rPr>
      <w:rFonts w:ascii="Gill Sans MT" w:eastAsia="Times New Roman" w:hAnsi="Gill Sans MT" w:cs="Open Sans"/>
      <w:b/>
      <w:bCs/>
      <w:color w:val="000000" w:themeColor="text1"/>
      <w:sz w:val="28"/>
      <w:szCs w:val="28"/>
      <w:u w:val="single"/>
      <w:shd w:val="clear" w:color="auto" w:fill="FFFFFF"/>
      <w:lang w:eastAsia="it-IT"/>
    </w:rPr>
  </w:style>
  <w:style w:type="paragraph" w:styleId="Titolo2">
    <w:name w:val="heading 2"/>
    <w:aliases w:val="TITOLO CS"/>
    <w:basedOn w:val="Normale"/>
    <w:next w:val="Normale"/>
    <w:link w:val="Titolo2Carattere"/>
    <w:uiPriority w:val="9"/>
    <w:unhideWhenUsed/>
    <w:qFormat/>
    <w:rsid w:val="004C7C01"/>
    <w:pPr>
      <w:jc w:val="center"/>
      <w:outlineLvl w:val="1"/>
    </w:pPr>
    <w:rPr>
      <w:rFonts w:ascii="Gill Sans MT" w:hAnsi="Gill Sans MT" w:cs="Arial"/>
      <w:b/>
      <w:bCs/>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606BC"/>
    <w:pPr>
      <w:tabs>
        <w:tab w:val="center" w:pos="4819"/>
        <w:tab w:val="right" w:pos="9638"/>
      </w:tabs>
    </w:pPr>
  </w:style>
  <w:style w:type="character" w:customStyle="1" w:styleId="IntestazioneCarattere">
    <w:name w:val="Intestazione Carattere"/>
    <w:basedOn w:val="Carpredefinitoparagrafo"/>
    <w:link w:val="Intestazione"/>
    <w:rsid w:val="007606BC"/>
  </w:style>
  <w:style w:type="paragraph" w:styleId="Pidipagina">
    <w:name w:val="footer"/>
    <w:basedOn w:val="Normale"/>
    <w:link w:val="PidipaginaCarattere"/>
    <w:unhideWhenUsed/>
    <w:rsid w:val="007606BC"/>
    <w:pPr>
      <w:tabs>
        <w:tab w:val="center" w:pos="4819"/>
        <w:tab w:val="right" w:pos="9638"/>
      </w:tabs>
    </w:pPr>
  </w:style>
  <w:style w:type="character" w:customStyle="1" w:styleId="PidipaginaCarattere">
    <w:name w:val="Piè di pagina Carattere"/>
    <w:basedOn w:val="Carpredefinitoparagrafo"/>
    <w:link w:val="Pidipagina"/>
    <w:uiPriority w:val="99"/>
    <w:rsid w:val="007606BC"/>
  </w:style>
  <w:style w:type="paragraph" w:styleId="Testonormale">
    <w:name w:val="Plain Text"/>
    <w:basedOn w:val="Normale"/>
    <w:link w:val="TestonormaleCarattere"/>
    <w:rsid w:val="00C25BBE"/>
    <w:rPr>
      <w:rFonts w:ascii="Courier New" w:eastAsia="Times" w:hAnsi="Courier New" w:cs="Times New Roman"/>
      <w:sz w:val="20"/>
      <w:szCs w:val="20"/>
      <w:lang w:eastAsia="it-IT"/>
    </w:rPr>
  </w:style>
  <w:style w:type="character" w:customStyle="1" w:styleId="TestonormaleCarattere">
    <w:name w:val="Testo normale Carattere"/>
    <w:basedOn w:val="Carpredefinitoparagrafo"/>
    <w:link w:val="Testonormale"/>
    <w:rsid w:val="00C25BBE"/>
    <w:rPr>
      <w:rFonts w:ascii="Courier New" w:eastAsia="Times" w:hAnsi="Courier New" w:cs="Times New Roman"/>
      <w:sz w:val="20"/>
      <w:szCs w:val="20"/>
      <w:lang w:eastAsia="it-IT"/>
    </w:rPr>
  </w:style>
  <w:style w:type="paragraph" w:styleId="NormaleWeb">
    <w:name w:val="Normal (Web)"/>
    <w:basedOn w:val="Normale"/>
    <w:uiPriority w:val="99"/>
    <w:unhideWhenUsed/>
    <w:rsid w:val="008D19AD"/>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6961A9"/>
  </w:style>
  <w:style w:type="character" w:customStyle="1" w:styleId="Titolo1Carattere">
    <w:name w:val="Titolo 1 Carattere"/>
    <w:aliases w:val="CS scritta Carattere"/>
    <w:basedOn w:val="Carpredefinitoparagrafo"/>
    <w:link w:val="Titolo1"/>
    <w:uiPriority w:val="9"/>
    <w:rsid w:val="003205DD"/>
    <w:rPr>
      <w:rFonts w:ascii="Gill Sans MT" w:eastAsia="Times New Roman" w:hAnsi="Gill Sans MT" w:cs="Open Sans"/>
      <w:b/>
      <w:bCs/>
      <w:color w:val="000000" w:themeColor="text1"/>
      <w:sz w:val="28"/>
      <w:szCs w:val="28"/>
      <w:u w:val="single"/>
      <w:lang w:eastAsia="it-IT"/>
    </w:rPr>
  </w:style>
  <w:style w:type="character" w:customStyle="1" w:styleId="Titolo2Carattere">
    <w:name w:val="Titolo 2 Carattere"/>
    <w:aliases w:val="TITOLO CS Carattere"/>
    <w:basedOn w:val="Carpredefinitoparagrafo"/>
    <w:link w:val="Titolo2"/>
    <w:uiPriority w:val="9"/>
    <w:rsid w:val="004C7C01"/>
    <w:rPr>
      <w:rFonts w:ascii="Gill Sans MT" w:hAnsi="Gill Sans MT" w:cs="Arial"/>
      <w:b/>
      <w:bCs/>
      <w:sz w:val="22"/>
      <w:szCs w:val="32"/>
    </w:rPr>
  </w:style>
  <w:style w:type="character" w:styleId="Collegamentoipertestuale">
    <w:name w:val="Hyperlink"/>
    <w:rsid w:val="003205DD"/>
    <w:rPr>
      <w:color w:val="0000FF"/>
      <w:u w:val="single"/>
    </w:rPr>
  </w:style>
  <w:style w:type="paragraph" w:styleId="Paragrafoelenco">
    <w:name w:val="List Paragraph"/>
    <w:aliases w:val="1st Bullet Point,Bullet List,Bullet OSM,Bullet edison,Bulleted Text,Content,Elenco_1,FVP-Paragrafo,FooterText,Liste 1,Proposal Bullet List,Sub bullet,TOC style,Table,Testo elenco,Titolo 2.2,Titolo_3,d_bodyb,lp1,text bullet,z19"/>
    <w:basedOn w:val="Normale"/>
    <w:link w:val="ParagrafoelencoCarattere"/>
    <w:uiPriority w:val="34"/>
    <w:qFormat/>
    <w:rsid w:val="003205DD"/>
    <w:pPr>
      <w:ind w:left="720"/>
    </w:pPr>
    <w:rPr>
      <w:rFonts w:ascii="Calibri" w:eastAsia="Times New Roman" w:hAnsi="Calibri" w:cs="Times New Roman"/>
      <w:sz w:val="22"/>
      <w:szCs w:val="22"/>
      <w:lang w:val="en-US"/>
    </w:rPr>
  </w:style>
  <w:style w:type="paragraph" w:styleId="Corpodeltesto3">
    <w:name w:val="Body Text 3"/>
    <w:basedOn w:val="Normale"/>
    <w:link w:val="Corpodeltesto3Carattere"/>
    <w:rsid w:val="003205DD"/>
    <w:pPr>
      <w:jc w:val="center"/>
    </w:pPr>
    <w:rPr>
      <w:rFonts w:ascii="Times New Roman" w:eastAsia="Times New Roman" w:hAnsi="Times New Roman" w:cs="Times New Roman"/>
      <w:b/>
      <w:sz w:val="28"/>
      <w:szCs w:val="20"/>
      <w:lang w:eastAsia="it-IT"/>
    </w:rPr>
  </w:style>
  <w:style w:type="character" w:customStyle="1" w:styleId="Corpodeltesto3Carattere">
    <w:name w:val="Corpo del testo 3 Carattere"/>
    <w:basedOn w:val="Carpredefinitoparagrafo"/>
    <w:link w:val="Corpodeltesto3"/>
    <w:rsid w:val="003205DD"/>
    <w:rPr>
      <w:rFonts w:ascii="Times New Roman" w:eastAsia="Times New Roman" w:hAnsi="Times New Roman" w:cs="Times New Roman"/>
      <w:b/>
      <w:sz w:val="28"/>
      <w:szCs w:val="20"/>
      <w:lang w:eastAsia="it-IT"/>
    </w:rPr>
  </w:style>
  <w:style w:type="character" w:customStyle="1" w:styleId="ParagrafoelencoCarattere">
    <w:name w:val="Paragrafo elenco Carattere"/>
    <w:aliases w:val="1st Bullet Point Carattere,Bullet List Carattere,Bullet OSM Carattere,Bullet edison Carattere,Bulleted Text Carattere,Content Carattere,Elenco_1 Carattere,FVP-Paragrafo Carattere,FooterText Carattere,Liste 1 Carattere"/>
    <w:link w:val="Paragrafoelenco"/>
    <w:uiPriority w:val="34"/>
    <w:locked/>
    <w:rsid w:val="003205DD"/>
    <w:rPr>
      <w:rFonts w:ascii="Calibri" w:eastAsia="Times New Roman" w:hAnsi="Calibri" w:cs="Times New Roman"/>
      <w:sz w:val="22"/>
      <w:szCs w:val="22"/>
      <w:lang w:val="en-US"/>
    </w:rPr>
  </w:style>
  <w:style w:type="paragraph" w:styleId="Rientrocorpodeltesto">
    <w:name w:val="Body Text Indent"/>
    <w:basedOn w:val="Normale"/>
    <w:link w:val="RientrocorpodeltestoCarattere"/>
    <w:rsid w:val="003205DD"/>
    <w:pPr>
      <w:spacing w:after="120"/>
      <w:ind w:left="283"/>
    </w:pPr>
    <w:rPr>
      <w:rFonts w:ascii="Times" w:eastAsia="Times" w:hAnsi="Times" w:cs="Times New Roman"/>
      <w:sz w:val="24"/>
      <w:szCs w:val="20"/>
      <w:lang w:eastAsia="it-IT"/>
    </w:rPr>
  </w:style>
  <w:style w:type="character" w:customStyle="1" w:styleId="RientrocorpodeltestoCarattere">
    <w:name w:val="Rientro corpo del testo Carattere"/>
    <w:basedOn w:val="Carpredefinitoparagrafo"/>
    <w:link w:val="Rientrocorpodeltesto"/>
    <w:rsid w:val="003205DD"/>
    <w:rPr>
      <w:rFonts w:ascii="Times" w:eastAsia="Times" w:hAnsi="Times" w:cs="Times New Roman"/>
      <w:szCs w:val="20"/>
      <w:lang w:eastAsia="it-IT"/>
    </w:rPr>
  </w:style>
  <w:style w:type="paragraph" w:styleId="Titolo">
    <w:name w:val="Title"/>
    <w:aliases w:val="sottotitoli"/>
    <w:basedOn w:val="Normale"/>
    <w:next w:val="Normale"/>
    <w:link w:val="TitoloCarattere"/>
    <w:uiPriority w:val="10"/>
    <w:qFormat/>
    <w:rsid w:val="00C1188B"/>
    <w:pPr>
      <w:jc w:val="both"/>
    </w:pPr>
    <w:rPr>
      <w:rFonts w:ascii="Gill Sans MT" w:eastAsia="Arial Unicode MS" w:hAnsi="Gill Sans MT" w:cs="Arial"/>
      <w:b/>
      <w:sz w:val="22"/>
      <w:szCs w:val="32"/>
    </w:rPr>
  </w:style>
  <w:style w:type="character" w:customStyle="1" w:styleId="TitoloCarattere">
    <w:name w:val="Titolo Carattere"/>
    <w:aliases w:val="sottotitoli Carattere"/>
    <w:basedOn w:val="Carpredefinitoparagrafo"/>
    <w:link w:val="Titolo"/>
    <w:uiPriority w:val="10"/>
    <w:rsid w:val="00C1188B"/>
    <w:rPr>
      <w:rFonts w:ascii="Gill Sans MT" w:eastAsia="Arial Unicode MS" w:hAnsi="Gill Sans MT" w:cs="Arial"/>
      <w:b/>
      <w:sz w:val="22"/>
      <w:szCs w:val="32"/>
    </w:rPr>
  </w:style>
  <w:style w:type="character" w:styleId="Menzionenonrisolta">
    <w:name w:val="Unresolved Mention"/>
    <w:basedOn w:val="Carpredefinitoparagrafo"/>
    <w:uiPriority w:val="99"/>
    <w:semiHidden/>
    <w:unhideWhenUsed/>
    <w:rsid w:val="00E7798C"/>
    <w:rPr>
      <w:color w:val="605E5C"/>
      <w:shd w:val="clear" w:color="auto" w:fill="E1DFDD"/>
    </w:rPr>
  </w:style>
  <w:style w:type="character" w:styleId="Collegamentovisitato">
    <w:name w:val="FollowedHyperlink"/>
    <w:basedOn w:val="Carpredefinitoparagrafo"/>
    <w:uiPriority w:val="99"/>
    <w:semiHidden/>
    <w:unhideWhenUsed/>
    <w:rsid w:val="00BB6372"/>
    <w:rPr>
      <w:color w:val="954F72" w:themeColor="followedHyperlink"/>
      <w:u w:val="single"/>
    </w:rPr>
  </w:style>
  <w:style w:type="paragraph" w:styleId="Revisione">
    <w:name w:val="Revision"/>
    <w:hidden/>
    <w:uiPriority w:val="99"/>
    <w:semiHidden/>
    <w:rsid w:val="00DF528D"/>
    <w:rPr>
      <w:rFonts w:ascii="Verdana" w:hAnsi="Verdana"/>
      <w:sz w:val="21"/>
    </w:rPr>
  </w:style>
  <w:style w:type="character" w:styleId="Rimandocommento">
    <w:name w:val="annotation reference"/>
    <w:basedOn w:val="Carpredefinitoparagrafo"/>
    <w:uiPriority w:val="99"/>
    <w:semiHidden/>
    <w:unhideWhenUsed/>
    <w:rsid w:val="00E662A7"/>
    <w:rPr>
      <w:sz w:val="16"/>
      <w:szCs w:val="16"/>
    </w:rPr>
  </w:style>
  <w:style w:type="paragraph" w:styleId="Testocommento">
    <w:name w:val="annotation text"/>
    <w:basedOn w:val="Normale"/>
    <w:link w:val="TestocommentoCarattere"/>
    <w:uiPriority w:val="99"/>
    <w:unhideWhenUsed/>
    <w:rsid w:val="00E662A7"/>
    <w:rPr>
      <w:sz w:val="20"/>
      <w:szCs w:val="20"/>
    </w:rPr>
  </w:style>
  <w:style w:type="character" w:customStyle="1" w:styleId="TestocommentoCarattere">
    <w:name w:val="Testo commento Carattere"/>
    <w:basedOn w:val="Carpredefinitoparagrafo"/>
    <w:link w:val="Testocommento"/>
    <w:uiPriority w:val="99"/>
    <w:rsid w:val="00E662A7"/>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3546AE"/>
    <w:rPr>
      <w:b/>
      <w:bCs/>
    </w:rPr>
  </w:style>
  <w:style w:type="character" w:customStyle="1" w:styleId="SoggettocommentoCarattere">
    <w:name w:val="Soggetto commento Carattere"/>
    <w:basedOn w:val="TestocommentoCarattere"/>
    <w:link w:val="Soggettocommento"/>
    <w:uiPriority w:val="99"/>
    <w:semiHidden/>
    <w:rsid w:val="003546AE"/>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6749">
      <w:bodyDiv w:val="1"/>
      <w:marLeft w:val="0"/>
      <w:marRight w:val="0"/>
      <w:marTop w:val="0"/>
      <w:marBottom w:val="0"/>
      <w:divBdr>
        <w:top w:val="none" w:sz="0" w:space="0" w:color="auto"/>
        <w:left w:val="none" w:sz="0" w:space="0" w:color="auto"/>
        <w:bottom w:val="none" w:sz="0" w:space="0" w:color="auto"/>
        <w:right w:val="none" w:sz="0" w:space="0" w:color="auto"/>
      </w:divBdr>
    </w:div>
    <w:div w:id="1156461569">
      <w:bodyDiv w:val="1"/>
      <w:marLeft w:val="0"/>
      <w:marRight w:val="0"/>
      <w:marTop w:val="0"/>
      <w:marBottom w:val="0"/>
      <w:divBdr>
        <w:top w:val="none" w:sz="0" w:space="0" w:color="auto"/>
        <w:left w:val="none" w:sz="0" w:space="0" w:color="auto"/>
        <w:bottom w:val="none" w:sz="0" w:space="0" w:color="auto"/>
        <w:right w:val="none" w:sz="0" w:space="0" w:color="auto"/>
      </w:divBdr>
    </w:div>
    <w:div w:id="1259676018">
      <w:bodyDiv w:val="1"/>
      <w:marLeft w:val="0"/>
      <w:marRight w:val="0"/>
      <w:marTop w:val="0"/>
      <w:marBottom w:val="0"/>
      <w:divBdr>
        <w:top w:val="none" w:sz="0" w:space="0" w:color="auto"/>
        <w:left w:val="none" w:sz="0" w:space="0" w:color="auto"/>
        <w:bottom w:val="none" w:sz="0" w:space="0" w:color="auto"/>
        <w:right w:val="none" w:sz="0" w:space="0" w:color="auto"/>
      </w:divBdr>
    </w:div>
    <w:div w:id="1332831228">
      <w:bodyDiv w:val="1"/>
      <w:marLeft w:val="0"/>
      <w:marRight w:val="0"/>
      <w:marTop w:val="0"/>
      <w:marBottom w:val="0"/>
      <w:divBdr>
        <w:top w:val="none" w:sz="0" w:space="0" w:color="auto"/>
        <w:left w:val="none" w:sz="0" w:space="0" w:color="auto"/>
        <w:bottom w:val="none" w:sz="0" w:space="0" w:color="auto"/>
        <w:right w:val="none" w:sz="0" w:space="0" w:color="auto"/>
      </w:divBdr>
    </w:div>
    <w:div w:id="1346324241">
      <w:bodyDiv w:val="1"/>
      <w:marLeft w:val="0"/>
      <w:marRight w:val="0"/>
      <w:marTop w:val="0"/>
      <w:marBottom w:val="0"/>
      <w:divBdr>
        <w:top w:val="none" w:sz="0" w:space="0" w:color="auto"/>
        <w:left w:val="none" w:sz="0" w:space="0" w:color="auto"/>
        <w:bottom w:val="none" w:sz="0" w:space="0" w:color="auto"/>
        <w:right w:val="none" w:sz="0" w:space="0" w:color="auto"/>
      </w:divBdr>
    </w:div>
    <w:div w:id="1560746202">
      <w:bodyDiv w:val="1"/>
      <w:marLeft w:val="0"/>
      <w:marRight w:val="0"/>
      <w:marTop w:val="0"/>
      <w:marBottom w:val="0"/>
      <w:divBdr>
        <w:top w:val="none" w:sz="0" w:space="0" w:color="auto"/>
        <w:left w:val="none" w:sz="0" w:space="0" w:color="auto"/>
        <w:bottom w:val="none" w:sz="0" w:space="0" w:color="auto"/>
        <w:right w:val="none" w:sz="0" w:space="0" w:color="auto"/>
      </w:divBdr>
    </w:div>
    <w:div w:id="1589844465">
      <w:bodyDiv w:val="1"/>
      <w:marLeft w:val="0"/>
      <w:marRight w:val="0"/>
      <w:marTop w:val="0"/>
      <w:marBottom w:val="0"/>
      <w:divBdr>
        <w:top w:val="none" w:sz="0" w:space="0" w:color="auto"/>
        <w:left w:val="none" w:sz="0" w:space="0" w:color="auto"/>
        <w:bottom w:val="none" w:sz="0" w:space="0" w:color="auto"/>
        <w:right w:val="none" w:sz="0" w:space="0" w:color="auto"/>
      </w:divBdr>
    </w:div>
    <w:div w:id="1771123278">
      <w:bodyDiv w:val="1"/>
      <w:marLeft w:val="0"/>
      <w:marRight w:val="0"/>
      <w:marTop w:val="0"/>
      <w:marBottom w:val="0"/>
      <w:divBdr>
        <w:top w:val="none" w:sz="0" w:space="0" w:color="auto"/>
        <w:left w:val="none" w:sz="0" w:space="0" w:color="auto"/>
        <w:bottom w:val="none" w:sz="0" w:space="0" w:color="auto"/>
        <w:right w:val="none" w:sz="0" w:space="0" w:color="auto"/>
      </w:divBdr>
    </w:div>
    <w:div w:id="195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capital.com" TargetMode="External"/><Relationship Id="rId13" Type="http://schemas.openxmlformats.org/officeDocument/2006/relationships/hyperlink" Target="mailto:anna.majocchi@deacapit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o.scopigno@deacapita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risons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acapital.com/?lang=en&amp;rc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risonst.com/" TargetMode="External"/><Relationship Id="rId14" Type="http://schemas.openxmlformats.org/officeDocument/2006/relationships/hyperlink" Target="mailto:beatrice.mori@deacapita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7366-A9EF-4646-9AEC-707024C8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1123</Words>
  <Characters>6405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Majocchi Anna</cp:lastModifiedBy>
  <cp:revision>4</cp:revision>
  <cp:lastPrinted>2023-06-22T13:00:00Z</cp:lastPrinted>
  <dcterms:created xsi:type="dcterms:W3CDTF">2023-09-20T13:26:00Z</dcterms:created>
  <dcterms:modified xsi:type="dcterms:W3CDTF">2023-09-20T13:48:00Z</dcterms:modified>
</cp:coreProperties>
</file>