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E2E8E5" w14:textId="5D678088" w:rsidR="005144E3" w:rsidRPr="005144E3" w:rsidRDefault="005144E3" w:rsidP="00DA13EF">
      <w:pPr>
        <w:rPr>
          <w:sz w:val="20"/>
          <w:szCs w:val="20"/>
        </w:rPr>
      </w:pPr>
      <w:r w:rsidRPr="005144E3">
        <w:rPr>
          <w:sz w:val="20"/>
          <w:szCs w:val="20"/>
        </w:rPr>
        <w:t xml:space="preserve">By Jan Sytze Mosselaar, portfolio manager in </w:t>
      </w:r>
      <w:r w:rsidR="00283415">
        <w:rPr>
          <w:sz w:val="20"/>
          <w:szCs w:val="20"/>
        </w:rPr>
        <w:t xml:space="preserve">the </w:t>
      </w:r>
      <w:r w:rsidRPr="005144E3">
        <w:rPr>
          <w:sz w:val="20"/>
          <w:szCs w:val="20"/>
        </w:rPr>
        <w:t xml:space="preserve">Robeco Quantitative Investment team </w:t>
      </w:r>
    </w:p>
    <w:p w14:paraId="3209AD9F" w14:textId="1F75EBC7" w:rsidR="00DA13EF" w:rsidRPr="00DA13EF" w:rsidRDefault="00DA13EF" w:rsidP="00DA13EF">
      <w:pPr>
        <w:rPr>
          <w:b/>
          <w:bCs/>
          <w:sz w:val="32"/>
          <w:szCs w:val="32"/>
        </w:rPr>
      </w:pPr>
      <w:r w:rsidRPr="00DA13EF">
        <w:rPr>
          <w:b/>
          <w:bCs/>
          <w:sz w:val="32"/>
          <w:szCs w:val="32"/>
        </w:rPr>
        <w:t>Focus on the broader EM opportunity – not just the tech titans</w:t>
      </w:r>
    </w:p>
    <w:p w14:paraId="3856840E" w14:textId="752EE067" w:rsidR="00DA13EF" w:rsidRPr="00DA13EF" w:rsidRDefault="00DA13EF" w:rsidP="00DA13EF">
      <w:r w:rsidRPr="00DA13EF">
        <w:rPr>
          <w:b/>
          <w:bCs/>
        </w:rPr>
        <w:t>Emerging market equities have staged a powerful comeback</w:t>
      </w:r>
      <w:r>
        <w:rPr>
          <w:b/>
          <w:bCs/>
        </w:rPr>
        <w:t>, led by AI</w:t>
      </w:r>
      <w:r w:rsidR="00CC2CC4">
        <w:rPr>
          <w:b/>
          <w:bCs/>
        </w:rPr>
        <w:t>-</w:t>
      </w:r>
      <w:r>
        <w:rPr>
          <w:b/>
          <w:bCs/>
        </w:rPr>
        <w:t>related companies in Korea and Taiwan. However, the bigger long</w:t>
      </w:r>
      <w:r w:rsidR="00CC2CC4">
        <w:rPr>
          <w:b/>
          <w:bCs/>
        </w:rPr>
        <w:t>-</w:t>
      </w:r>
      <w:r>
        <w:rPr>
          <w:b/>
          <w:bCs/>
        </w:rPr>
        <w:t>term EM opportunity favors a</w:t>
      </w:r>
      <w:r w:rsidRPr="00DA13EF">
        <w:rPr>
          <w:b/>
          <w:bCs/>
        </w:rPr>
        <w:t xml:space="preserve"> systematic, broad-universe approach.</w:t>
      </w:r>
    </w:p>
    <w:p w14:paraId="6A14D803" w14:textId="0136B775" w:rsidR="00DA13EF" w:rsidRPr="00DA13EF" w:rsidRDefault="00DA13EF" w:rsidP="00DA13EF">
      <w:r w:rsidRPr="00DA13EF">
        <w:t>Flows into EM strategies picked up meaningfully</w:t>
      </w:r>
      <w:r>
        <w:t xml:space="preserve"> in 2025 and 2026</w:t>
      </w:r>
      <w:r w:rsidRPr="00DA13EF">
        <w:t xml:space="preserve">, </w:t>
      </w:r>
      <w:r w:rsidR="00A2154D">
        <w:t xml:space="preserve">and </w:t>
      </w:r>
      <w:r w:rsidR="005C04EA">
        <w:t xml:space="preserve">market </w:t>
      </w:r>
      <w:r w:rsidRPr="00DA13EF">
        <w:t xml:space="preserve">performance has been strong, </w:t>
      </w:r>
      <w:r w:rsidR="005C04EA">
        <w:t>with</w:t>
      </w:r>
      <w:r w:rsidRPr="00DA13EF">
        <w:t xml:space="preserve"> the asset class once again commanding </w:t>
      </w:r>
      <w:r>
        <w:t xml:space="preserve">the </w:t>
      </w:r>
      <w:r w:rsidRPr="00DA13EF">
        <w:t xml:space="preserve">attention </w:t>
      </w:r>
      <w:r>
        <w:t>of investors from institutional to retail</w:t>
      </w:r>
      <w:r w:rsidRPr="00DA13EF">
        <w:t xml:space="preserve">. </w:t>
      </w:r>
      <w:r w:rsidR="00223F9E">
        <w:t>However,</w:t>
      </w:r>
      <w:r w:rsidRPr="00DA13EF">
        <w:t xml:space="preserve"> the recent rally has not solved the deeper structural issue: emerging markets remain significantly under-owned by both institutional and retail investors relative to their economic weight in the world.</w:t>
      </w:r>
    </w:p>
    <w:p w14:paraId="41D185B7" w14:textId="03AD665A" w:rsidR="00DA13EF" w:rsidRPr="00283415" w:rsidRDefault="00DA13EF" w:rsidP="00DA13EF">
      <w:pPr>
        <w:rPr>
          <w:b/>
          <w:bCs/>
        </w:rPr>
      </w:pPr>
      <w:r w:rsidRPr="00DA13EF">
        <w:rPr>
          <w:b/>
          <w:bCs/>
        </w:rPr>
        <w:t>A</w:t>
      </w:r>
      <w:r w:rsidR="005C04EA">
        <w:rPr>
          <w:b/>
          <w:bCs/>
        </w:rPr>
        <w:t xml:space="preserve"> valuation advantage</w:t>
      </w:r>
      <w:r w:rsidR="005F54A4">
        <w:rPr>
          <w:b/>
          <w:bCs/>
        </w:rPr>
        <w:t xml:space="preserve"> and a rich investable universe</w:t>
      </w:r>
      <w:r w:rsidR="00283415">
        <w:rPr>
          <w:b/>
          <w:bCs/>
        </w:rPr>
        <w:br/>
      </w:r>
      <w:r w:rsidR="005144E3">
        <w:t xml:space="preserve">There is a </w:t>
      </w:r>
      <w:r w:rsidRPr="00DA13EF">
        <w:t>persistent valuation gap between developed and emerging markets, one that has historically moved in long multi-year waves. EM now offers growth exposure</w:t>
      </w:r>
      <w:r w:rsidR="00F72C8C">
        <w:t xml:space="preserve">, </w:t>
      </w:r>
      <w:r w:rsidRPr="00DA13EF">
        <w:t>including to technology</w:t>
      </w:r>
      <w:r w:rsidR="00F72C8C">
        <w:t xml:space="preserve">, </w:t>
      </w:r>
      <w:r w:rsidRPr="00DA13EF">
        <w:t>at valuations well below what investors would pay for comparable growth in developed markets.</w:t>
      </w:r>
    </w:p>
    <w:p w14:paraId="1E038DE2" w14:textId="5517065F" w:rsidR="00DA13EF" w:rsidRPr="00DA13EF" w:rsidRDefault="00DA13EF" w:rsidP="00DA13EF">
      <w:r w:rsidRPr="00DA13EF">
        <w:t xml:space="preserve">What makes this opportunity particularly rich for systematic investors is the sheer breadth of the universe. While most investors experience emerging markets through a small set of headline names in the benchmark, a quantitative approach can range across </w:t>
      </w:r>
      <w:r w:rsidR="00EA4684">
        <w:t>hundreds of</w:t>
      </w:r>
      <w:r w:rsidRPr="00DA13EF">
        <w:t xml:space="preserve"> individual EM stocks</w:t>
      </w:r>
      <w:r w:rsidR="00431DBD">
        <w:t xml:space="preserve">. </w:t>
      </w:r>
      <w:r w:rsidRPr="00DA13EF">
        <w:t>Every one of th</w:t>
      </w:r>
      <w:r w:rsidR="00431DBD">
        <w:t>e</w:t>
      </w:r>
      <w:r w:rsidRPr="00DA13EF">
        <w:t xml:space="preserve">se </w:t>
      </w:r>
      <w:r w:rsidR="00431DBD">
        <w:t>companies</w:t>
      </w:r>
      <w:r w:rsidRPr="00DA13EF">
        <w:t>, small or large, becomes a potential source of a modest overweight or underweight position. A quant process built to scan thousands of companies, rather than a shortlist of familiar large caps, is structurally positioned to find value where narrower, benchmark-hugging strategies cannot look.</w:t>
      </w:r>
    </w:p>
    <w:p w14:paraId="46E3C808" w14:textId="32A6E330" w:rsidR="00DA13EF" w:rsidRPr="00431DBD" w:rsidRDefault="00DA13EF" w:rsidP="00DA13EF">
      <w:pPr>
        <w:rPr>
          <w:b/>
          <w:bCs/>
        </w:rPr>
      </w:pPr>
      <w:r w:rsidRPr="00DA13EF">
        <w:rPr>
          <w:b/>
          <w:bCs/>
        </w:rPr>
        <w:t>Concentration is real</w:t>
      </w:r>
      <w:r w:rsidR="00D7437B">
        <w:rPr>
          <w:b/>
          <w:bCs/>
        </w:rPr>
        <w:t>,</w:t>
      </w:r>
      <w:r w:rsidRPr="00DA13EF">
        <w:rPr>
          <w:b/>
          <w:bCs/>
        </w:rPr>
        <w:t xml:space="preserve"> but it isn't the whole story</w:t>
      </w:r>
      <w:r w:rsidR="00431DBD">
        <w:rPr>
          <w:b/>
          <w:bCs/>
        </w:rPr>
        <w:br/>
      </w:r>
      <w:r w:rsidRPr="00DA13EF">
        <w:t>It would be naive to pretend concentration isn't a genuine issue in today's emerging market indices. Technology ma</w:t>
      </w:r>
      <w:r w:rsidR="002552E5">
        <w:t>de</w:t>
      </w:r>
      <w:r w:rsidRPr="00DA13EF">
        <w:t xml:space="preserve"> up more than 40% of the benchmark</w:t>
      </w:r>
      <w:r w:rsidR="002552E5">
        <w:t xml:space="preserve"> at the end of June 2026</w:t>
      </w:r>
      <w:r w:rsidRPr="00DA13EF">
        <w:t xml:space="preserve">, and three individual </w:t>
      </w:r>
      <w:r w:rsidR="00431DBD">
        <w:t>stocks</w:t>
      </w:r>
      <w:r w:rsidRPr="00DA13EF">
        <w:t xml:space="preserve"> account</w:t>
      </w:r>
      <w:r w:rsidR="002552E5">
        <w:t>ed</w:t>
      </w:r>
      <w:r w:rsidRPr="00DA13EF">
        <w:t xml:space="preserve"> for over 30% of the index </w:t>
      </w:r>
      <w:r w:rsidR="00BC11E7" w:rsidRPr="00BC11E7">
        <w:t>–</w:t>
      </w:r>
      <w:r w:rsidRPr="00DA13EF">
        <w:t xml:space="preserve"> a level of concentration that echoes the </w:t>
      </w:r>
      <w:r w:rsidR="00BC11E7">
        <w:t>‘</w:t>
      </w:r>
      <w:r w:rsidRPr="00DA13EF">
        <w:t>Magnificent Seven</w:t>
      </w:r>
      <w:r w:rsidR="00BC11E7">
        <w:t>’</w:t>
      </w:r>
      <w:r w:rsidRPr="00DA13EF">
        <w:t xml:space="preserve"> phenomenon observed in developed markets. The concentration has created regulatory side-effects, with some stocks growing so large that active funds are constrained </w:t>
      </w:r>
      <w:r w:rsidR="00431DBD">
        <w:t xml:space="preserve">by rules limiting the </w:t>
      </w:r>
      <w:r w:rsidR="004B30A3">
        <w:t xml:space="preserve">size of the </w:t>
      </w:r>
      <w:r w:rsidR="00431DBD">
        <w:t xml:space="preserve">exposure </w:t>
      </w:r>
      <w:r w:rsidR="004B30A3">
        <w:t>to individual companies</w:t>
      </w:r>
      <w:r w:rsidRPr="00DA13EF">
        <w:t xml:space="preserve">, forcing managers into structural underweights regardless of </w:t>
      </w:r>
      <w:r w:rsidR="004B30A3">
        <w:t xml:space="preserve">their opinion or level of </w:t>
      </w:r>
      <w:r w:rsidRPr="00DA13EF">
        <w:t>conviction.</w:t>
      </w:r>
    </w:p>
    <w:p w14:paraId="2B7DC6A8" w14:textId="65340E34" w:rsidR="00DA13EF" w:rsidRPr="00DA13EF" w:rsidRDefault="00DA13EF" w:rsidP="00DA13EF">
      <w:r w:rsidRPr="00DA13EF">
        <w:t>But the more important insight</w:t>
      </w:r>
      <w:r w:rsidR="002552E5">
        <w:t xml:space="preserve"> </w:t>
      </w:r>
      <w:r w:rsidRPr="00DA13EF">
        <w:t xml:space="preserve">is that not all technology stocks behave the same way. Each occupies a different position in the broader technology and AI value chain, from software platforms to memory chips to hardware assembly, and each responds to different drivers. </w:t>
      </w:r>
      <w:r w:rsidRPr="00DA13EF">
        <w:lastRenderedPageBreak/>
        <w:t xml:space="preserve">A systematic strategy with a wide investment universe can diversify across that value chain rather than simply </w:t>
      </w:r>
      <w:r w:rsidR="002552E5">
        <w:t>focusing on or</w:t>
      </w:r>
      <w:r w:rsidRPr="00DA13EF">
        <w:t>, or</w:t>
      </w:r>
      <w:r w:rsidR="002552E5">
        <w:t xml:space="preserve"> </w:t>
      </w:r>
      <w:r w:rsidRPr="00DA13EF">
        <w:t xml:space="preserve">avoiding, the largest </w:t>
      </w:r>
      <w:r w:rsidR="004B30A3">
        <w:t>companies</w:t>
      </w:r>
      <w:r w:rsidRPr="00DA13EF">
        <w:t>.</w:t>
      </w:r>
    </w:p>
    <w:p w14:paraId="5ACAE3C8" w14:textId="39DD1837" w:rsidR="00F72C8C" w:rsidRDefault="00DA13EF" w:rsidP="00DA13EF">
      <w:r w:rsidRPr="00DA13EF">
        <w:rPr>
          <w:b/>
          <w:bCs/>
        </w:rPr>
        <w:t>A model that learns, without losing its foundations</w:t>
      </w:r>
      <w:r w:rsidR="004B30A3">
        <w:rPr>
          <w:b/>
          <w:bCs/>
        </w:rPr>
        <w:br/>
      </w:r>
      <w:r w:rsidRPr="00DA13EF">
        <w:t>Perhaps the most important message for investors evaluating a quantitative approach to EM is how the model itself evolves. Quantitative investing is, by its nature, built on historical data and back-tested relationships</w:t>
      </w:r>
      <w:r w:rsidR="00F72C8C">
        <w:t>. This</w:t>
      </w:r>
      <w:r w:rsidRPr="00DA13EF">
        <w:t xml:space="preserve"> invites an obvious question: how can a backward-looking model keep pace with a world, and an asset class, that is changing at an accelerating pace? </w:t>
      </w:r>
    </w:p>
    <w:p w14:paraId="533655B5" w14:textId="51136D90" w:rsidR="00DA13EF" w:rsidRPr="004B30A3" w:rsidRDefault="00F72C8C" w:rsidP="00DA13EF">
      <w:pPr>
        <w:rPr>
          <w:b/>
          <w:bCs/>
        </w:rPr>
      </w:pPr>
      <w:r>
        <w:t xml:space="preserve">The answer is that </w:t>
      </w:r>
      <w:r w:rsidR="00DA13EF" w:rsidRPr="00DA13EF">
        <w:t xml:space="preserve">quant is not a static black box. </w:t>
      </w:r>
      <w:r>
        <w:t>The 2026</w:t>
      </w:r>
      <w:r w:rsidR="00DA13EF" w:rsidRPr="00DA13EF">
        <w:t xml:space="preserve"> version of Robeco's EM quant model </w:t>
      </w:r>
      <w:r>
        <w:t>is only 40% correlated with the 2016 model,</w:t>
      </w:r>
      <w:r w:rsidR="00DA13EF" w:rsidRPr="00DA13EF">
        <w:t xml:space="preserve"> even though its underlying philosophy and core definitions have remained consistent. The difference has come from continuous innovation in signal construction, alternative data sources</w:t>
      </w:r>
      <w:r>
        <w:t xml:space="preserve"> and</w:t>
      </w:r>
      <w:r w:rsidR="00DA13EF" w:rsidRPr="00DA13EF">
        <w:t xml:space="preserve"> techniques like natural language processing and machine learning to extract fresh information from markets</w:t>
      </w:r>
      <w:r>
        <w:t>,</w:t>
      </w:r>
      <w:r w:rsidR="00DA13EF" w:rsidRPr="00DA13EF">
        <w:t xml:space="preserve"> before that information </w:t>
      </w:r>
      <w:r>
        <w:t>advantage is</w:t>
      </w:r>
      <w:r w:rsidR="00DA13EF" w:rsidRPr="00DA13EF">
        <w:t xml:space="preserve"> arbitraged away by competitors chasing the same data sets.</w:t>
      </w:r>
    </w:p>
    <w:p w14:paraId="6682DBCA" w14:textId="40678912" w:rsidR="00DA13EF" w:rsidRPr="00DA13EF" w:rsidRDefault="00DA13EF" w:rsidP="00DA13EF">
      <w:r w:rsidRPr="00352151">
        <w:t xml:space="preserve">This </w:t>
      </w:r>
      <w:r w:rsidR="00F72C8C" w:rsidRPr="00352151">
        <w:t>adaptability</w:t>
      </w:r>
      <w:r w:rsidRPr="00352151">
        <w:t xml:space="preserve"> shows up in real portfolio decisions, not just theory. </w:t>
      </w:r>
      <w:r w:rsidR="00F72C8C" w:rsidRPr="00352151">
        <w:t xml:space="preserve">In </w:t>
      </w:r>
      <w:r w:rsidR="00352151" w:rsidRPr="00352151">
        <w:t>Sept</w:t>
      </w:r>
      <w:r w:rsidR="002552E5" w:rsidRPr="00352151">
        <w:t>ember</w:t>
      </w:r>
      <w:r w:rsidR="00F72C8C" w:rsidRPr="00352151">
        <w:t xml:space="preserve"> 2024</w:t>
      </w:r>
      <w:r w:rsidRPr="00DA13EF">
        <w:t xml:space="preserve">, the model held an overweight position in major Chinese internet platform names as momentum, earnings revisions and quality metrics all pointed positively. When a subsequent price war eroded profitability across that sector, earnings revisions and sentiment turned negative </w:t>
      </w:r>
      <w:r w:rsidR="00EA0C19" w:rsidRPr="00EA0C19">
        <w:t>–</w:t>
      </w:r>
      <w:r w:rsidRPr="00DA13EF">
        <w:t xml:space="preserve"> and the model systematically shifted from overweight to underweight, well ahead of much of the continued pain in those names. Around the same time, it began recognizing a positive turn for Korean memory chipmakers, building an overweight. </w:t>
      </w:r>
      <w:r w:rsidR="00F72C8C">
        <w:t>W</w:t>
      </w:r>
      <w:r w:rsidRPr="00DA13EF">
        <w:t>hen circumstances change, the rules-based process forces the portfolio to change with them.</w:t>
      </w:r>
    </w:p>
    <w:p w14:paraId="4536C8D2" w14:textId="787436D6" w:rsidR="00DA13EF" w:rsidRPr="00DA13EF" w:rsidRDefault="00DA13EF" w:rsidP="00DA13EF">
      <w:r w:rsidRPr="00DA13EF">
        <w:t xml:space="preserve">None of this happens without accounting for emerging markets' distinctive practicalities </w:t>
      </w:r>
      <w:r w:rsidR="00741D9C" w:rsidRPr="00741D9C">
        <w:t>–</w:t>
      </w:r>
      <w:r w:rsidRPr="00DA13EF">
        <w:t xml:space="preserve"> governance risk, currency exposure, inconsistent data quality, cross-shareholding structures, and dual listings such as China's A-shares versus Hong Kong-listed shares, or US-listed ADRs versus local </w:t>
      </w:r>
      <w:r w:rsidR="006A1BF5">
        <w:t>listings</w:t>
      </w:r>
      <w:r w:rsidRPr="00DA13EF">
        <w:t>. These are the areas where experienced human portfolio managers work alongside the model</w:t>
      </w:r>
      <w:r w:rsidR="006A1BF5">
        <w:t xml:space="preserve"> </w:t>
      </w:r>
      <w:r w:rsidRPr="00DA13EF">
        <w:t>turning apparent complications, such as listing discounts, into additional sources of value.</w:t>
      </w:r>
    </w:p>
    <w:p w14:paraId="18A1F972" w14:textId="77777777" w:rsidR="00FA43D3" w:rsidRDefault="00DA13EF">
      <w:r w:rsidRPr="00DA13EF">
        <w:t>For investors weighing whether now is the moment to lean back into emerging markets, the message from Robeco's quant</w:t>
      </w:r>
      <w:r w:rsidR="000B76A1">
        <w:t>itative investment</w:t>
      </w:r>
      <w:r w:rsidRPr="00DA13EF">
        <w:t xml:space="preserve"> team is clear: the opportunity is not just about riding a handful of dominant names back to new highs. It is about accessing a genuinely broad, evolving universe of thousands of companies, powered by a systematic process built to keep adapting as the market itself changes.</w:t>
      </w:r>
    </w:p>
    <w:p w14:paraId="4177326F" w14:textId="68944B04" w:rsidR="004A4032" w:rsidRDefault="00FA43D3">
      <w:r>
        <w:lastRenderedPageBreak/>
        <w:t>Find out more&gt;</w:t>
      </w:r>
      <w:r w:rsidR="004A4032">
        <w:br w:type="page"/>
      </w:r>
    </w:p>
    <w:sdt>
      <w:sdtPr>
        <w:rPr>
          <w:rFonts w:asciiTheme="minorHAnsi" w:hAnsiTheme="minorHAnsi"/>
          <w:sz w:val="20"/>
          <w:szCs w:val="20"/>
        </w:rPr>
        <w:alias w:val="Non-fund"/>
        <w:tag w:val="Non-fund"/>
        <w:id w:val="-825811433"/>
        <w:placeholder>
          <w:docPart w:val="97BA86BE2FB7495A9EF4EE0503AD6D99"/>
        </w:placeholder>
      </w:sdtPr>
      <w:sdtEndPr/>
      <w:sdtContent>
        <w:p w14:paraId="14D6A15F" w14:textId="77777777" w:rsidR="004A4032" w:rsidRDefault="004A4032" w:rsidP="004A4032">
          <w:pPr>
            <w:pStyle w:val="DisclaimerHeading"/>
            <w:rPr>
              <w:rFonts w:asciiTheme="minorHAnsi" w:hAnsiTheme="minorHAnsi"/>
              <w:sz w:val="20"/>
              <w:szCs w:val="20"/>
              <w:lang w:val="en-GB"/>
            </w:rPr>
          </w:pPr>
          <w:r w:rsidRPr="00123E37">
            <w:rPr>
              <w:rFonts w:asciiTheme="minorHAnsi" w:hAnsiTheme="minorHAnsi"/>
              <w:b/>
              <w:sz w:val="20"/>
              <w:szCs w:val="20"/>
              <w:lang w:val="en-GB"/>
            </w:rPr>
            <w:t>Important information </w:t>
          </w:r>
          <w:r w:rsidRPr="00123E37">
            <w:rPr>
              <w:rFonts w:asciiTheme="minorHAnsi" w:hAnsiTheme="minorHAnsi"/>
              <w:sz w:val="20"/>
              <w:szCs w:val="20"/>
              <w:lang w:val="en-GB"/>
            </w:rPr>
            <w:t>–</w:t>
          </w:r>
          <w:r w:rsidRPr="00123E37">
            <w:rPr>
              <w:rFonts w:asciiTheme="minorHAnsi" w:hAnsiTheme="minorHAnsi"/>
              <w:b/>
              <w:sz w:val="20"/>
              <w:szCs w:val="20"/>
              <w:lang w:val="en-GB"/>
            </w:rPr>
            <w:t> Capital at risk</w:t>
          </w:r>
          <w:r w:rsidRPr="00123E37">
            <w:rPr>
              <w:rFonts w:asciiTheme="minorHAnsi" w:hAnsiTheme="minorHAnsi"/>
              <w:sz w:val="20"/>
              <w:szCs w:val="20"/>
              <w:lang w:val="en-GB"/>
            </w:rPr>
            <w:t> </w:t>
          </w:r>
        </w:p>
        <w:p w14:paraId="08F97336" w14:textId="77777777" w:rsidR="004A4032" w:rsidRPr="00123E37" w:rsidRDefault="004A4032" w:rsidP="004A4032">
          <w:pPr>
            <w:pStyle w:val="DisclaimerHeading"/>
            <w:rPr>
              <w:rFonts w:asciiTheme="minorHAnsi" w:hAnsiTheme="minorHAnsi"/>
              <w:sz w:val="20"/>
              <w:szCs w:val="20"/>
            </w:rPr>
          </w:pPr>
          <w:r w:rsidRPr="00123E37">
            <w:rPr>
              <w:rFonts w:asciiTheme="minorHAnsi" w:hAnsiTheme="minorHAnsi"/>
              <w:sz w:val="20"/>
              <w:szCs w:val="20"/>
            </w:rPr>
            <w:t xml:space="preserve">This information refers only to general information about Robeco Holding B.V. and/or its related, affiliated and subsidiary companies (“Robeco”), Robeco's approach, strategies and capabilities. This is a marketing communication solely intended for professional investors, defined as investors qualifying as professional clients, who have requested to be treated as professional clients or who are authorized to receive such information under any applicable laws. Unless otherwise stated, the data and information reported is sourced from Robeco, is, to the best knowledge of Robeco, accurate at the time of publication and comes without any warranties of any kind. Any opinion expressed is solely Robeco’s opinion, it is not a factual statement, and is subject to change, and in no way constitutes investment advice. This document is intended only to provide an overview of Robeco's approach and strategies. It is not a substitute for a prospectus or any other legal document concerning any specific financial instrument. The data, information, and opinions contained herein do not constitute and, under no circumstances, may be construed as an offer or an invitation or a recommendation to make investments or divestments or a solicitation to buy, sell, hold or subscribe for financial instruments or as financial, legal, tax, or investment research advice or as an invitation or to make any other use of it. All rights relating to the information in this document are and will remain the property of Robeco. This document may not be copied or used with the public. No part of this document may be reproduced or published in any form or by any means without Robeco's prior written permission. Robeco Institutional Asset Management B.V. has a license as manager of UCITS and AIFs of the Netherlands Authority for the Financial Markets in Amsterdam. </w:t>
          </w:r>
        </w:p>
        <w:p w14:paraId="64C58CD9" w14:textId="77777777" w:rsidR="004A4032" w:rsidRPr="00123E37" w:rsidRDefault="004A4032" w:rsidP="004A4032">
          <w:pPr>
            <w:pStyle w:val="DisclaimerHeading"/>
            <w:rPr>
              <w:rFonts w:asciiTheme="minorHAnsi" w:hAnsiTheme="minorHAnsi"/>
              <w:sz w:val="20"/>
              <w:szCs w:val="20"/>
            </w:rPr>
          </w:pPr>
        </w:p>
        <w:p w14:paraId="09B93D72" w14:textId="77777777" w:rsidR="004A4032" w:rsidRPr="00123E37" w:rsidRDefault="004A4032" w:rsidP="004A4032">
          <w:pPr>
            <w:pStyle w:val="DisclaimerHeading"/>
            <w:rPr>
              <w:rFonts w:asciiTheme="minorHAnsi" w:hAnsiTheme="minorHAnsi"/>
              <w:sz w:val="20"/>
              <w:szCs w:val="20"/>
            </w:rPr>
          </w:pPr>
          <w:r w:rsidRPr="00123E37">
            <w:rPr>
              <w:rFonts w:asciiTheme="minorHAnsi" w:hAnsiTheme="minorHAnsi"/>
              <w:sz w:val="20"/>
              <w:szCs w:val="20"/>
            </w:rPr>
            <w:t xml:space="preserve">Parts of the marketing material may involve the use of AI-assisted tools to support the creation and review of marketing materials. These tools are designed to help ensure greater consistency and efficiency. All outcomes are reviewed by human evaluators. </w:t>
          </w:r>
        </w:p>
        <w:p w14:paraId="22770560" w14:textId="77777777" w:rsidR="004A4032" w:rsidRPr="00123E37" w:rsidRDefault="004A4032" w:rsidP="004A4032">
          <w:pPr>
            <w:pStyle w:val="DisclaimerHeading"/>
            <w:rPr>
              <w:rFonts w:asciiTheme="minorHAnsi" w:hAnsiTheme="minorHAnsi"/>
              <w:sz w:val="20"/>
              <w:szCs w:val="20"/>
            </w:rPr>
          </w:pPr>
        </w:p>
        <w:p w14:paraId="4B15E7E0" w14:textId="77777777" w:rsidR="004A4032" w:rsidRPr="00123E37" w:rsidRDefault="004A4032" w:rsidP="004A4032">
          <w:pPr>
            <w:pStyle w:val="DisclaimerHeading"/>
            <w:rPr>
              <w:rFonts w:asciiTheme="minorHAnsi" w:hAnsiTheme="minorHAnsi"/>
              <w:b/>
              <w:bCs w:val="0"/>
              <w:sz w:val="20"/>
              <w:szCs w:val="20"/>
            </w:rPr>
          </w:pPr>
          <w:r w:rsidRPr="00123E37">
            <w:rPr>
              <w:rFonts w:asciiTheme="minorHAnsi" w:hAnsiTheme="minorHAnsi"/>
              <w:b/>
              <w:bCs w:val="0"/>
              <w:sz w:val="20"/>
              <w:szCs w:val="20"/>
            </w:rPr>
            <w:t xml:space="preserve">Australia </w:t>
          </w:r>
        </w:p>
        <w:p w14:paraId="226D5877" w14:textId="77777777" w:rsidR="004A4032" w:rsidRPr="00123E37" w:rsidRDefault="004A4032" w:rsidP="004A4032">
          <w:pPr>
            <w:pStyle w:val="DisclaimerHeading"/>
            <w:rPr>
              <w:rFonts w:asciiTheme="minorHAnsi" w:hAnsiTheme="minorHAnsi"/>
              <w:sz w:val="20"/>
              <w:szCs w:val="20"/>
            </w:rPr>
          </w:pPr>
          <w:r w:rsidRPr="00123E37">
            <w:rPr>
              <w:rFonts w:asciiTheme="minorHAnsi" w:hAnsiTheme="minorHAnsi"/>
              <w:sz w:val="20"/>
              <w:szCs w:val="20"/>
            </w:rPr>
            <w:t>This document is distributed in Australia by Robeco Hong Kong Limited (“RHK”) (ARBN 156 512 659). RHK is exempt from the requirement to hold an Australian financial services license under section 911A(2)(ep) of the Corporations Act 2001 (</w:t>
          </w:r>
          <w:proofErr w:type="spellStart"/>
          <w:r w:rsidRPr="00123E37">
            <w:rPr>
              <w:rFonts w:asciiTheme="minorHAnsi" w:hAnsiTheme="minorHAnsi"/>
              <w:sz w:val="20"/>
              <w:szCs w:val="20"/>
            </w:rPr>
            <w:t>Cth</w:t>
          </w:r>
          <w:proofErr w:type="spellEnd"/>
          <w:r w:rsidRPr="00123E37">
            <w:rPr>
              <w:rFonts w:asciiTheme="minorHAnsi" w:hAnsiTheme="minorHAnsi"/>
              <w:sz w:val="20"/>
              <w:szCs w:val="20"/>
            </w:rPr>
            <w:t>) in respect of the financial services it provides. RHK may only provide financial services to wholesale clients under that exemption. RHK is regulated by the Securities and Futures Commission under the laws of Hong Kong, which may differ from Australian laws. This document is distributed only to “wholesale clients” within the meaning of the Corporations Act 2001 (</w:t>
          </w:r>
          <w:proofErr w:type="spellStart"/>
          <w:r w:rsidRPr="00123E37">
            <w:rPr>
              <w:rFonts w:asciiTheme="minorHAnsi" w:hAnsiTheme="minorHAnsi"/>
              <w:sz w:val="20"/>
              <w:szCs w:val="20"/>
            </w:rPr>
            <w:t>Cth</w:t>
          </w:r>
          <w:proofErr w:type="spellEnd"/>
          <w:r w:rsidRPr="00123E37">
            <w:rPr>
              <w:rFonts w:asciiTheme="minorHAnsi" w:hAnsiTheme="minorHAnsi"/>
              <w:sz w:val="20"/>
              <w:szCs w:val="20"/>
            </w:rPr>
            <w:t>). It is not</w:t>
          </w:r>
          <w:r w:rsidRPr="00123E37">
            <w:rPr>
              <w:rFonts w:ascii="Times New Roman" w:hAnsi="Times New Roman" w:cs="Times New Roman"/>
              <w:sz w:val="20"/>
              <w:szCs w:val="20"/>
            </w:rPr>
            <w:t> </w:t>
          </w:r>
          <w:r w:rsidRPr="00123E37">
            <w:rPr>
              <w:rFonts w:asciiTheme="minorHAnsi" w:hAnsiTheme="minorHAnsi"/>
              <w:sz w:val="20"/>
              <w:szCs w:val="20"/>
            </w:rPr>
            <w:t>intended</w:t>
          </w:r>
          <w:r w:rsidRPr="00123E37">
            <w:rPr>
              <w:rFonts w:ascii="Times New Roman" w:hAnsi="Times New Roman" w:cs="Times New Roman"/>
              <w:sz w:val="20"/>
              <w:szCs w:val="20"/>
            </w:rPr>
            <w:t> </w:t>
          </w:r>
          <w:r w:rsidRPr="00123E37">
            <w:rPr>
              <w:rFonts w:asciiTheme="minorHAnsi" w:hAnsiTheme="minorHAnsi"/>
              <w:sz w:val="20"/>
              <w:szCs w:val="20"/>
            </w:rPr>
            <w:t>for distribution or dissemination, directly or indirectly, to any other class of persons. This document is</w:t>
          </w:r>
          <w:r w:rsidRPr="00123E37">
            <w:rPr>
              <w:rFonts w:ascii="Times New Roman" w:hAnsi="Times New Roman" w:cs="Times New Roman"/>
              <w:sz w:val="20"/>
              <w:szCs w:val="20"/>
            </w:rPr>
            <w:t> </w:t>
          </w:r>
          <w:r w:rsidRPr="00123E37">
            <w:rPr>
              <w:rFonts w:asciiTheme="minorHAnsi" w:hAnsiTheme="minorHAnsi"/>
              <w:sz w:val="20"/>
              <w:szCs w:val="20"/>
            </w:rPr>
            <w:t>not intended</w:t>
          </w:r>
          <w:r w:rsidRPr="00123E37">
            <w:rPr>
              <w:rFonts w:ascii="Times New Roman" w:hAnsi="Times New Roman" w:cs="Times New Roman"/>
              <w:sz w:val="20"/>
              <w:szCs w:val="20"/>
            </w:rPr>
            <w:t> </w:t>
          </w:r>
          <w:r w:rsidRPr="00123E37">
            <w:rPr>
              <w:rFonts w:asciiTheme="minorHAnsi" w:hAnsiTheme="minorHAnsi"/>
              <w:sz w:val="20"/>
              <w:szCs w:val="20"/>
            </w:rPr>
            <w:t xml:space="preserve">for public distribution in Australia. </w:t>
          </w:r>
        </w:p>
        <w:p w14:paraId="57E789C5" w14:textId="77777777" w:rsidR="004A4032" w:rsidRPr="00123E37" w:rsidRDefault="004A4032" w:rsidP="004A4032">
          <w:pPr>
            <w:pStyle w:val="DisclaimerHeading"/>
            <w:rPr>
              <w:rFonts w:asciiTheme="minorHAnsi" w:hAnsiTheme="minorHAnsi"/>
              <w:b/>
              <w:bCs w:val="0"/>
              <w:sz w:val="20"/>
              <w:szCs w:val="20"/>
            </w:rPr>
          </w:pPr>
          <w:r w:rsidRPr="00123E37">
            <w:rPr>
              <w:rFonts w:asciiTheme="minorHAnsi" w:hAnsiTheme="minorHAnsi"/>
              <w:b/>
              <w:bCs w:val="0"/>
              <w:sz w:val="20"/>
              <w:szCs w:val="20"/>
            </w:rPr>
            <w:t xml:space="preserve">Hong Kong </w:t>
          </w:r>
        </w:p>
        <w:p w14:paraId="689D41C6" w14:textId="77777777" w:rsidR="004A4032" w:rsidRPr="00123E37" w:rsidRDefault="004A4032" w:rsidP="004A4032">
          <w:pPr>
            <w:pStyle w:val="DisclaimerHeading"/>
            <w:rPr>
              <w:rFonts w:asciiTheme="minorHAnsi" w:hAnsiTheme="minorHAnsi"/>
              <w:sz w:val="20"/>
              <w:szCs w:val="20"/>
            </w:rPr>
          </w:pPr>
          <w:r w:rsidRPr="00123E37">
            <w:rPr>
              <w:rFonts w:asciiTheme="minorHAnsi" w:hAnsiTheme="minorHAnsi"/>
              <w:sz w:val="20"/>
              <w:szCs w:val="20"/>
            </w:rPr>
            <w:t xml:space="preserve">This document is issued by Robeco Hong Kong Limited, which is regulated by the Hong Kong Securities and Futures Commission (“SFC”). The contents of this document have not been reviewed by the SFC. Investment involves risks. This information does not constitute an offer to sell, a solicitation of an offer to buy, or a recommendation for any security. </w:t>
          </w:r>
        </w:p>
        <w:p w14:paraId="73F148C1" w14:textId="77777777" w:rsidR="004A4032" w:rsidRPr="00123E37" w:rsidRDefault="004A4032" w:rsidP="004A4032">
          <w:pPr>
            <w:pStyle w:val="DisclaimerHeading"/>
            <w:rPr>
              <w:rFonts w:asciiTheme="minorHAnsi" w:hAnsiTheme="minorHAnsi"/>
              <w:b/>
              <w:bCs w:val="0"/>
              <w:sz w:val="20"/>
              <w:szCs w:val="20"/>
            </w:rPr>
          </w:pPr>
          <w:r w:rsidRPr="00123E37">
            <w:rPr>
              <w:rFonts w:asciiTheme="minorHAnsi" w:hAnsiTheme="minorHAnsi"/>
              <w:b/>
              <w:bCs w:val="0"/>
              <w:sz w:val="20"/>
              <w:szCs w:val="20"/>
            </w:rPr>
            <w:t xml:space="preserve">New Zealand </w:t>
          </w:r>
        </w:p>
        <w:p w14:paraId="0A810FAC" w14:textId="77777777" w:rsidR="004A4032" w:rsidRPr="00123E37" w:rsidRDefault="004A4032" w:rsidP="004A4032">
          <w:pPr>
            <w:pStyle w:val="DisclaimerHeading"/>
            <w:rPr>
              <w:rFonts w:asciiTheme="minorHAnsi" w:hAnsiTheme="minorHAnsi"/>
              <w:sz w:val="20"/>
              <w:szCs w:val="20"/>
            </w:rPr>
          </w:pPr>
          <w:r w:rsidRPr="00123E37">
            <w:rPr>
              <w:rFonts w:asciiTheme="minorHAnsi" w:hAnsiTheme="minorHAnsi"/>
              <w:sz w:val="20"/>
              <w:szCs w:val="20"/>
            </w:rPr>
            <w:t xml:space="preserve">In New Zealand, this document is only available to “wholesale investors” within the meaning of clause 3(2) of Schedule 1 of the Financial Markets Conduct Act 2013 (‘FMCA’). This document is issued by Robeco Hong Kong Limited which does not have a place of business in New Zealand. </w:t>
          </w:r>
        </w:p>
        <w:p w14:paraId="14430132" w14:textId="77777777" w:rsidR="004A4032" w:rsidRPr="00123E37" w:rsidRDefault="004A4032" w:rsidP="004A4032">
          <w:pPr>
            <w:pStyle w:val="DisclaimerHeading"/>
            <w:rPr>
              <w:rFonts w:asciiTheme="minorHAnsi" w:hAnsiTheme="minorHAnsi"/>
              <w:b/>
              <w:bCs w:val="0"/>
              <w:sz w:val="20"/>
              <w:szCs w:val="20"/>
            </w:rPr>
          </w:pPr>
          <w:r w:rsidRPr="00123E37">
            <w:rPr>
              <w:rFonts w:asciiTheme="minorHAnsi" w:hAnsiTheme="minorHAnsi"/>
              <w:b/>
              <w:bCs w:val="0"/>
              <w:sz w:val="20"/>
              <w:szCs w:val="20"/>
            </w:rPr>
            <w:t xml:space="preserve">Singapore </w:t>
          </w:r>
        </w:p>
        <w:p w14:paraId="6991881E" w14:textId="77777777" w:rsidR="004A4032" w:rsidRPr="00123E37" w:rsidRDefault="004A4032" w:rsidP="004A4032">
          <w:pPr>
            <w:pStyle w:val="DisclaimerHeading"/>
            <w:rPr>
              <w:rFonts w:asciiTheme="minorHAnsi" w:hAnsiTheme="minorHAnsi"/>
              <w:sz w:val="20"/>
              <w:szCs w:val="20"/>
            </w:rPr>
          </w:pPr>
          <w:r w:rsidRPr="00123E37">
            <w:rPr>
              <w:rFonts w:asciiTheme="minorHAnsi" w:hAnsiTheme="minorHAnsi"/>
              <w:sz w:val="20"/>
              <w:szCs w:val="20"/>
            </w:rPr>
            <w:t xml:space="preserve">This information is for informational purposes only and should not be construed as an offer to sell or an invitation to buy any securities or products, nor as investment advice or recommendation. The contents of this document have not been reviewed by the Monetary Authority of Singapore (“MAS”). Robeco Singapore Private Limited holds a capital markets services </w:t>
          </w:r>
          <w:proofErr w:type="spellStart"/>
          <w:r w:rsidRPr="00123E37">
            <w:rPr>
              <w:rFonts w:asciiTheme="minorHAnsi" w:hAnsiTheme="minorHAnsi"/>
              <w:sz w:val="20"/>
              <w:szCs w:val="20"/>
            </w:rPr>
            <w:t>licence</w:t>
          </w:r>
          <w:proofErr w:type="spellEnd"/>
          <w:r w:rsidRPr="00123E37">
            <w:rPr>
              <w:rFonts w:asciiTheme="minorHAnsi" w:hAnsiTheme="minorHAnsi"/>
              <w:sz w:val="20"/>
              <w:szCs w:val="20"/>
            </w:rPr>
            <w:t xml:space="preserve"> for fund management issued by the MAS and is </w:t>
          </w:r>
          <w:r w:rsidRPr="00123E37">
            <w:rPr>
              <w:rFonts w:asciiTheme="minorHAnsi" w:hAnsiTheme="minorHAnsi"/>
              <w:sz w:val="20"/>
              <w:szCs w:val="20"/>
            </w:rPr>
            <w:lastRenderedPageBreak/>
            <w:t xml:space="preserve">subject to certain clientele restrictions under such </w:t>
          </w:r>
          <w:proofErr w:type="spellStart"/>
          <w:r w:rsidRPr="00123E37">
            <w:rPr>
              <w:rFonts w:asciiTheme="minorHAnsi" w:hAnsiTheme="minorHAnsi"/>
              <w:sz w:val="20"/>
              <w:szCs w:val="20"/>
            </w:rPr>
            <w:t>licence</w:t>
          </w:r>
          <w:proofErr w:type="spellEnd"/>
          <w:r w:rsidRPr="00123E37">
            <w:rPr>
              <w:rFonts w:asciiTheme="minorHAnsi" w:hAnsiTheme="minorHAnsi"/>
              <w:sz w:val="20"/>
              <w:szCs w:val="20"/>
            </w:rPr>
            <w:t xml:space="preserve">. An investment will involve a high degree of risk, and you should consider carefully whether an investment is suitable for you. </w:t>
          </w:r>
        </w:p>
        <w:p w14:paraId="0F1FE681" w14:textId="77777777" w:rsidR="004A4032" w:rsidRPr="00123E37" w:rsidRDefault="004A4032" w:rsidP="004A4032">
          <w:pPr>
            <w:pStyle w:val="DisclaimerHeading"/>
            <w:rPr>
              <w:rFonts w:asciiTheme="minorHAnsi" w:hAnsiTheme="minorHAnsi"/>
              <w:b/>
              <w:bCs w:val="0"/>
              <w:sz w:val="20"/>
              <w:szCs w:val="20"/>
            </w:rPr>
          </w:pPr>
          <w:r w:rsidRPr="00123E37">
            <w:rPr>
              <w:rFonts w:asciiTheme="minorHAnsi" w:hAnsiTheme="minorHAnsi"/>
              <w:b/>
              <w:bCs w:val="0"/>
              <w:sz w:val="20"/>
              <w:szCs w:val="20"/>
            </w:rPr>
            <w:t xml:space="preserve">Switzerland </w:t>
          </w:r>
        </w:p>
        <w:p w14:paraId="55DAA327" w14:textId="77777777" w:rsidR="004A4032" w:rsidRPr="00123E37" w:rsidRDefault="004A4032" w:rsidP="004A4032">
          <w:pPr>
            <w:pStyle w:val="DisclaimerHeading"/>
            <w:rPr>
              <w:rFonts w:asciiTheme="minorHAnsi" w:hAnsiTheme="minorHAnsi"/>
              <w:sz w:val="20"/>
              <w:szCs w:val="20"/>
            </w:rPr>
          </w:pPr>
          <w:r w:rsidRPr="00123E37">
            <w:rPr>
              <w:rFonts w:asciiTheme="minorHAnsi" w:hAnsiTheme="minorHAnsi"/>
              <w:sz w:val="20"/>
              <w:szCs w:val="20"/>
            </w:rPr>
            <w:t xml:space="preserve">Robeco Switzerland Ltd is licensed by the Swiss Financial Market Supervisory Authority FINMA as a manager of collective assets. </w:t>
          </w:r>
        </w:p>
        <w:p w14:paraId="3FB1E32A" w14:textId="77777777" w:rsidR="004A4032" w:rsidRPr="00123E37" w:rsidRDefault="004A4032" w:rsidP="004A4032">
          <w:pPr>
            <w:pStyle w:val="DisclaimerHeading"/>
            <w:rPr>
              <w:rFonts w:asciiTheme="minorHAnsi" w:hAnsiTheme="minorHAnsi"/>
              <w:b/>
              <w:bCs w:val="0"/>
              <w:sz w:val="20"/>
              <w:szCs w:val="20"/>
            </w:rPr>
          </w:pPr>
          <w:r w:rsidRPr="00123E37">
            <w:rPr>
              <w:rFonts w:asciiTheme="minorHAnsi" w:hAnsiTheme="minorHAnsi"/>
              <w:b/>
              <w:bCs w:val="0"/>
              <w:sz w:val="20"/>
              <w:szCs w:val="20"/>
            </w:rPr>
            <w:t xml:space="preserve">United Kingdom </w:t>
          </w:r>
        </w:p>
        <w:p w14:paraId="26648D7D" w14:textId="77777777" w:rsidR="004A4032" w:rsidRPr="00123E37" w:rsidRDefault="004A4032" w:rsidP="004A4032">
          <w:pPr>
            <w:pStyle w:val="DisclaimerHeading"/>
            <w:rPr>
              <w:rFonts w:asciiTheme="minorHAnsi" w:hAnsiTheme="minorHAnsi"/>
              <w:sz w:val="20"/>
              <w:szCs w:val="20"/>
            </w:rPr>
          </w:pPr>
          <w:r w:rsidRPr="00123E37">
            <w:rPr>
              <w:rFonts w:asciiTheme="minorHAnsi" w:hAnsiTheme="minorHAnsi"/>
              <w:sz w:val="20"/>
              <w:szCs w:val="20"/>
            </w:rPr>
            <w:t xml:space="preserve">This information is provided by Robeco Institutional Asset Management UK Limited, 30 Fenchurch Street, Part Level 8, London EC3M 3BD, registered in England no.15362605. Robeco Institutional Asset Management UK Limited is </w:t>
          </w:r>
          <w:proofErr w:type="spellStart"/>
          <w:r w:rsidRPr="00123E37">
            <w:rPr>
              <w:rFonts w:asciiTheme="minorHAnsi" w:hAnsiTheme="minorHAnsi"/>
              <w:sz w:val="20"/>
              <w:szCs w:val="20"/>
            </w:rPr>
            <w:t>authorised</w:t>
          </w:r>
          <w:proofErr w:type="spellEnd"/>
          <w:r w:rsidRPr="00123E37">
            <w:rPr>
              <w:rFonts w:asciiTheme="minorHAnsi" w:hAnsiTheme="minorHAnsi"/>
              <w:sz w:val="20"/>
              <w:szCs w:val="20"/>
            </w:rPr>
            <w:t xml:space="preserve"> and regulated by the Financial Conduct Authority (FCA – Reference No: 1007814). </w:t>
          </w:r>
        </w:p>
        <w:p w14:paraId="7A94B5F8" w14:textId="77777777" w:rsidR="004A4032" w:rsidRPr="00123E37" w:rsidRDefault="004A4032" w:rsidP="004A4032">
          <w:pPr>
            <w:pStyle w:val="DisclaimerHeading"/>
            <w:rPr>
              <w:rFonts w:asciiTheme="minorHAnsi" w:hAnsiTheme="minorHAnsi"/>
              <w:b/>
              <w:bCs w:val="0"/>
              <w:sz w:val="20"/>
              <w:szCs w:val="20"/>
            </w:rPr>
          </w:pPr>
          <w:r w:rsidRPr="00123E37">
            <w:rPr>
              <w:rFonts w:asciiTheme="minorHAnsi" w:hAnsiTheme="minorHAnsi"/>
              <w:b/>
              <w:bCs w:val="0"/>
              <w:sz w:val="20"/>
              <w:szCs w:val="20"/>
            </w:rPr>
            <w:t xml:space="preserve">US </w:t>
          </w:r>
        </w:p>
        <w:p w14:paraId="3615E8D3" w14:textId="77777777" w:rsidR="004A4032" w:rsidRPr="00123E37" w:rsidRDefault="004A4032" w:rsidP="004A4032">
          <w:pPr>
            <w:pStyle w:val="DisclaimerHeading"/>
            <w:rPr>
              <w:rFonts w:asciiTheme="minorHAnsi" w:hAnsiTheme="minorHAnsi"/>
              <w:sz w:val="20"/>
              <w:szCs w:val="20"/>
            </w:rPr>
          </w:pPr>
          <w:r w:rsidRPr="00123E37">
            <w:rPr>
              <w:rFonts w:asciiTheme="minorHAnsi" w:hAnsiTheme="minorHAnsi"/>
              <w:sz w:val="20"/>
              <w:szCs w:val="20"/>
            </w:rPr>
            <w:t xml:space="preserve">This document may be distributed in the US by Robeco Institutional Asset Management US, Inc. (“Robeco US”), an investment adviser registered with the US Securities and Exchange Commission (SEC). Such registration should not be interpreted as an endorsement or approval of Robeco US by the SEC. Robeco B.V. is considered “participating affiliate” and some of their employees are “associated persons” of Robeco US as per relevant SEC no-action guidance. Employees identified as associated persons of Robeco US perform activities directly or indirectly related to the investment advisory services provided by Robeco US. In those situations, these individuals are deemed to be acting on behalf of Robeco US. SEC regulations are applicable only to clients, prospects and investors of Robeco US. Robeco US is wholly owned subsidiary of ORIX Corporation Europe N.V. (“ORIX”), a Dutch Investment Management Firm located in Rotterdam, the Netherlands. Robeco US is located at </w:t>
          </w:r>
          <w:r w:rsidRPr="00265AC9">
            <w:rPr>
              <w:rFonts w:asciiTheme="minorHAnsi" w:hAnsiTheme="minorHAnsi"/>
              <w:sz w:val="20"/>
              <w:szCs w:val="20"/>
            </w:rPr>
            <w:t>90 Park Avenue, 21st Floor, New York, NY 10016</w:t>
          </w:r>
          <w:r w:rsidRPr="00123E37">
            <w:rPr>
              <w:rFonts w:asciiTheme="minorHAnsi" w:hAnsiTheme="minorHAnsi"/>
              <w:sz w:val="20"/>
              <w:szCs w:val="20"/>
            </w:rPr>
            <w:t>.</w:t>
          </w:r>
        </w:p>
        <w:p w14:paraId="0191B8B4" w14:textId="77777777" w:rsidR="004A4032" w:rsidRPr="0082213F" w:rsidRDefault="004A4032" w:rsidP="004A4032">
          <w:pPr>
            <w:pStyle w:val="DisclaimerHeading"/>
            <w:rPr>
              <w:rFonts w:asciiTheme="minorHAnsi" w:hAnsiTheme="minorHAnsi"/>
              <w:sz w:val="20"/>
              <w:szCs w:val="20"/>
            </w:rPr>
          </w:pPr>
        </w:p>
        <w:p w14:paraId="4E6780E5" w14:textId="77777777" w:rsidR="004A4032" w:rsidRPr="0082213F" w:rsidRDefault="004A4032" w:rsidP="004A4032">
          <w:pPr>
            <w:pStyle w:val="DisclaimerHeading"/>
            <w:rPr>
              <w:rFonts w:asciiTheme="minorHAnsi" w:hAnsiTheme="minorHAnsi"/>
              <w:sz w:val="20"/>
              <w:szCs w:val="20"/>
            </w:rPr>
          </w:pPr>
          <w:r w:rsidRPr="0082213F">
            <w:rPr>
              <w:rFonts w:asciiTheme="minorHAnsi" w:hAnsiTheme="minorHAnsi"/>
              <w:sz w:val="20"/>
              <w:szCs w:val="20"/>
            </w:rPr>
            <w:t>© Q</w:t>
          </w:r>
          <w:r>
            <w:rPr>
              <w:rFonts w:asciiTheme="minorHAnsi" w:hAnsiTheme="minorHAnsi"/>
              <w:sz w:val="20"/>
              <w:szCs w:val="20"/>
            </w:rPr>
            <w:t>2</w:t>
          </w:r>
          <w:r w:rsidRPr="0082213F">
            <w:rPr>
              <w:rFonts w:asciiTheme="minorHAnsi" w:hAnsiTheme="minorHAnsi"/>
              <w:sz w:val="20"/>
              <w:szCs w:val="20"/>
            </w:rPr>
            <w:t>/202</w:t>
          </w:r>
          <w:r>
            <w:rPr>
              <w:rFonts w:asciiTheme="minorHAnsi" w:hAnsiTheme="minorHAnsi"/>
              <w:sz w:val="20"/>
              <w:szCs w:val="20"/>
            </w:rPr>
            <w:t>6</w:t>
          </w:r>
          <w:r w:rsidRPr="0082213F">
            <w:rPr>
              <w:rFonts w:asciiTheme="minorHAnsi" w:hAnsiTheme="minorHAnsi"/>
              <w:sz w:val="20"/>
              <w:szCs w:val="20"/>
            </w:rPr>
            <w:t xml:space="preserve"> Robeco</w:t>
          </w:r>
        </w:p>
      </w:sdtContent>
    </w:sdt>
    <w:p w14:paraId="4A1D6F08" w14:textId="77777777" w:rsidR="00F7540D" w:rsidRDefault="00F7540D"/>
    <w:sectPr w:rsidR="00F7540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3EF"/>
    <w:rsid w:val="000B76A1"/>
    <w:rsid w:val="001F0A77"/>
    <w:rsid w:val="00223F9E"/>
    <w:rsid w:val="00227DDC"/>
    <w:rsid w:val="002552E5"/>
    <w:rsid w:val="00283415"/>
    <w:rsid w:val="00283BC4"/>
    <w:rsid w:val="002C60AE"/>
    <w:rsid w:val="00352151"/>
    <w:rsid w:val="00431DBD"/>
    <w:rsid w:val="004A4032"/>
    <w:rsid w:val="004B30A3"/>
    <w:rsid w:val="005144E3"/>
    <w:rsid w:val="00523CEF"/>
    <w:rsid w:val="0053774B"/>
    <w:rsid w:val="005C04EA"/>
    <w:rsid w:val="005F54A4"/>
    <w:rsid w:val="00641457"/>
    <w:rsid w:val="006A1BF5"/>
    <w:rsid w:val="006C432A"/>
    <w:rsid w:val="006D4253"/>
    <w:rsid w:val="00741D9C"/>
    <w:rsid w:val="007B1CB3"/>
    <w:rsid w:val="00981341"/>
    <w:rsid w:val="00A2154D"/>
    <w:rsid w:val="00A4310F"/>
    <w:rsid w:val="00BC11E7"/>
    <w:rsid w:val="00C76785"/>
    <w:rsid w:val="00CC2CC4"/>
    <w:rsid w:val="00D67378"/>
    <w:rsid w:val="00D7437B"/>
    <w:rsid w:val="00DA13EF"/>
    <w:rsid w:val="00E26424"/>
    <w:rsid w:val="00EA0C19"/>
    <w:rsid w:val="00EA4684"/>
    <w:rsid w:val="00EC3D94"/>
    <w:rsid w:val="00F72C8C"/>
    <w:rsid w:val="00F7540D"/>
    <w:rsid w:val="00FA43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74D73"/>
  <w15:chartTrackingRefBased/>
  <w15:docId w15:val="{CD552738-3791-4445-AEBD-026F3CF03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13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13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13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13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13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13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13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13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13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13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13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13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13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13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13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13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13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13EF"/>
    <w:rPr>
      <w:rFonts w:eastAsiaTheme="majorEastAsia" w:cstheme="majorBidi"/>
      <w:color w:val="272727" w:themeColor="text1" w:themeTint="D8"/>
    </w:rPr>
  </w:style>
  <w:style w:type="paragraph" w:styleId="Title">
    <w:name w:val="Title"/>
    <w:basedOn w:val="Normal"/>
    <w:next w:val="Normal"/>
    <w:link w:val="TitleChar"/>
    <w:uiPriority w:val="10"/>
    <w:qFormat/>
    <w:rsid w:val="00DA13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13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13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13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13EF"/>
    <w:pPr>
      <w:spacing w:before="160"/>
      <w:jc w:val="center"/>
    </w:pPr>
    <w:rPr>
      <w:i/>
      <w:iCs/>
      <w:color w:val="404040" w:themeColor="text1" w:themeTint="BF"/>
    </w:rPr>
  </w:style>
  <w:style w:type="character" w:customStyle="1" w:styleId="QuoteChar">
    <w:name w:val="Quote Char"/>
    <w:basedOn w:val="DefaultParagraphFont"/>
    <w:link w:val="Quote"/>
    <w:uiPriority w:val="29"/>
    <w:rsid w:val="00DA13EF"/>
    <w:rPr>
      <w:i/>
      <w:iCs/>
      <w:color w:val="404040" w:themeColor="text1" w:themeTint="BF"/>
    </w:rPr>
  </w:style>
  <w:style w:type="paragraph" w:styleId="ListParagraph">
    <w:name w:val="List Paragraph"/>
    <w:basedOn w:val="Normal"/>
    <w:uiPriority w:val="34"/>
    <w:qFormat/>
    <w:rsid w:val="00DA13EF"/>
    <w:pPr>
      <w:ind w:left="720"/>
      <w:contextualSpacing/>
    </w:pPr>
  </w:style>
  <w:style w:type="character" w:styleId="IntenseEmphasis">
    <w:name w:val="Intense Emphasis"/>
    <w:basedOn w:val="DefaultParagraphFont"/>
    <w:uiPriority w:val="21"/>
    <w:qFormat/>
    <w:rsid w:val="00DA13EF"/>
    <w:rPr>
      <w:i/>
      <w:iCs/>
      <w:color w:val="0F4761" w:themeColor="accent1" w:themeShade="BF"/>
    </w:rPr>
  </w:style>
  <w:style w:type="paragraph" w:styleId="IntenseQuote">
    <w:name w:val="Intense Quote"/>
    <w:basedOn w:val="Normal"/>
    <w:next w:val="Normal"/>
    <w:link w:val="IntenseQuoteChar"/>
    <w:uiPriority w:val="30"/>
    <w:qFormat/>
    <w:rsid w:val="00DA13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13EF"/>
    <w:rPr>
      <w:i/>
      <w:iCs/>
      <w:color w:val="0F4761" w:themeColor="accent1" w:themeShade="BF"/>
    </w:rPr>
  </w:style>
  <w:style w:type="character" w:styleId="IntenseReference">
    <w:name w:val="Intense Reference"/>
    <w:basedOn w:val="DefaultParagraphFont"/>
    <w:uiPriority w:val="32"/>
    <w:qFormat/>
    <w:rsid w:val="00DA13EF"/>
    <w:rPr>
      <w:b/>
      <w:bCs/>
      <w:smallCaps/>
      <w:color w:val="0F4761" w:themeColor="accent1" w:themeShade="BF"/>
      <w:spacing w:val="5"/>
    </w:rPr>
  </w:style>
  <w:style w:type="character" w:styleId="CommentReference">
    <w:name w:val="annotation reference"/>
    <w:basedOn w:val="DefaultParagraphFont"/>
    <w:uiPriority w:val="99"/>
    <w:semiHidden/>
    <w:unhideWhenUsed/>
    <w:rsid w:val="002552E5"/>
    <w:rPr>
      <w:sz w:val="16"/>
      <w:szCs w:val="16"/>
    </w:rPr>
  </w:style>
  <w:style w:type="paragraph" w:styleId="CommentText">
    <w:name w:val="annotation text"/>
    <w:basedOn w:val="Normal"/>
    <w:link w:val="CommentTextChar"/>
    <w:uiPriority w:val="99"/>
    <w:unhideWhenUsed/>
    <w:rsid w:val="002552E5"/>
    <w:pPr>
      <w:spacing w:line="240" w:lineRule="auto"/>
    </w:pPr>
    <w:rPr>
      <w:sz w:val="20"/>
      <w:szCs w:val="20"/>
    </w:rPr>
  </w:style>
  <w:style w:type="character" w:customStyle="1" w:styleId="CommentTextChar">
    <w:name w:val="Comment Text Char"/>
    <w:basedOn w:val="DefaultParagraphFont"/>
    <w:link w:val="CommentText"/>
    <w:uiPriority w:val="99"/>
    <w:rsid w:val="002552E5"/>
    <w:rPr>
      <w:sz w:val="20"/>
      <w:szCs w:val="20"/>
    </w:rPr>
  </w:style>
  <w:style w:type="paragraph" w:styleId="CommentSubject">
    <w:name w:val="annotation subject"/>
    <w:basedOn w:val="CommentText"/>
    <w:next w:val="CommentText"/>
    <w:link w:val="CommentSubjectChar"/>
    <w:uiPriority w:val="99"/>
    <w:semiHidden/>
    <w:unhideWhenUsed/>
    <w:rsid w:val="002552E5"/>
    <w:rPr>
      <w:b/>
      <w:bCs/>
    </w:rPr>
  </w:style>
  <w:style w:type="character" w:customStyle="1" w:styleId="CommentSubjectChar">
    <w:name w:val="Comment Subject Char"/>
    <w:basedOn w:val="CommentTextChar"/>
    <w:link w:val="CommentSubject"/>
    <w:uiPriority w:val="99"/>
    <w:semiHidden/>
    <w:rsid w:val="002552E5"/>
    <w:rPr>
      <w:b/>
      <w:bCs/>
      <w:sz w:val="20"/>
      <w:szCs w:val="20"/>
    </w:rPr>
  </w:style>
  <w:style w:type="paragraph" w:styleId="Revision">
    <w:name w:val="Revision"/>
    <w:hidden/>
    <w:uiPriority w:val="99"/>
    <w:semiHidden/>
    <w:rsid w:val="00CC2CC4"/>
    <w:pPr>
      <w:spacing w:after="0" w:line="240" w:lineRule="auto"/>
    </w:pPr>
  </w:style>
  <w:style w:type="paragraph" w:customStyle="1" w:styleId="DisclaimerHeading">
    <w:name w:val="_DisclaimerHeading"/>
    <w:basedOn w:val="Normal"/>
    <w:next w:val="NoSpacing"/>
    <w:qFormat/>
    <w:rsid w:val="004A4032"/>
    <w:pPr>
      <w:keepNext/>
      <w:spacing w:after="0" w:line="240" w:lineRule="auto"/>
    </w:pPr>
    <w:rPr>
      <w:rFonts w:asciiTheme="majorHAnsi" w:hAnsiTheme="majorHAnsi"/>
      <w:bCs/>
      <w:kern w:val="0"/>
      <w:sz w:val="14"/>
      <w:szCs w:val="18"/>
      <w14:ligatures w14:val="none"/>
    </w:rPr>
  </w:style>
  <w:style w:type="paragraph" w:styleId="NoSpacing">
    <w:name w:val="No Spacing"/>
    <w:uiPriority w:val="1"/>
    <w:qFormat/>
    <w:rsid w:val="004A403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7BA86BE2FB7495A9EF4EE0503AD6D99"/>
        <w:category>
          <w:name w:val="General"/>
          <w:gallery w:val="placeholder"/>
        </w:category>
        <w:types>
          <w:type w:val="bbPlcHdr"/>
        </w:types>
        <w:behaviors>
          <w:behavior w:val="content"/>
        </w:behaviors>
        <w:guid w:val="{51D31B69-2954-4671-A49B-AB9DE763DA09}"/>
      </w:docPartPr>
      <w:docPartBody>
        <w:p w:rsidR="00D54921" w:rsidRDefault="008212FC" w:rsidP="008212FC">
          <w:pPr>
            <w:pStyle w:val="97BA86BE2FB7495A9EF4EE0503AD6D99"/>
          </w:pPr>
          <w:r>
            <w:rPr>
              <w:rStyle w:val="PlaceholderText"/>
            </w:rPr>
            <w:t>Non-fund disclaimer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2FC"/>
    <w:rsid w:val="008212FC"/>
    <w:rsid w:val="00971E87"/>
    <w:rsid w:val="00981341"/>
    <w:rsid w:val="00D54921"/>
    <w:rsid w:val="00EC3D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212FC"/>
    <w:rPr>
      <w:color w:val="808080"/>
    </w:rPr>
  </w:style>
  <w:style w:type="paragraph" w:customStyle="1" w:styleId="97BA86BE2FB7495A9EF4EE0503AD6D99">
    <w:name w:val="97BA86BE2FB7495A9EF4EE0503AD6D99"/>
    <w:rsid w:val="008212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a007909b-dcf9-4792-9704-79f141f3a661" ContentTypeId="0x0101" PreviousValue="false"/>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e85da3cd-f8c0-4177-9d4b-29f4f21e59fa" xsi:nil="true"/>
    <lcf76f155ced4ddcb4097134ff3c332f xmlns="ce0c2ff3-a928-45cb-bc2c-041d32d5bb4c">
      <Terms xmlns="http://schemas.microsoft.com/office/infopath/2007/PartnerControls"/>
    </lcf76f155ced4ddcb4097134ff3c332f>
    <Approvedby xmlns="ce0c2ff3-a928-45cb-bc2c-041d32d5bb4c">
      <UserInfo>
        <DisplayName/>
        <AccountId xsi:nil="true"/>
        <AccountType/>
      </UserInfo>
    </Approvedby>
    <Approval_Log xmlns="ce0c2ff3-a928-45cb-bc2c-041d32d5bb4c" xsi:nil="true"/>
    <_dlc_DocIdUrl xmlns="534362a4-4147-4f2e-849b-3885f6897121">
      <Url xsi:nil="true"/>
      <Description xsi:nil="true"/>
    </_dlc_DocIdUrl>
    <Approvalstatus xmlns="ce0c2ff3-a928-45cb-bc2c-041d32d5bb4c">New</Approvalstatus>
    <Approval xmlns="ce0c2ff3-a928-45cb-bc2c-041d32d5bb4c" xsi:nil="true"/>
    <_dlc_DocId xmlns="534362a4-4147-4f2e-849b-3885f6897121" xsi:nil="true"/>
    <_dlc_DocIdPersistId xmlns="534362a4-4147-4f2e-849b-3885f6897121" xsi:nil="true"/>
    <_Flow_SignoffStatus xmlns="ce0c2ff3-a928-45cb-bc2c-041d32d5bb4c"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44F3E3CEAA7A034189EBE19A8F6F2E83" ma:contentTypeVersion="27" ma:contentTypeDescription="Create a new document." ma:contentTypeScope="" ma:versionID="3c60f4b09521937c29afc2cd8a98f7d8">
  <xsd:schema xmlns:xsd="http://www.w3.org/2001/XMLSchema" xmlns:xs="http://www.w3.org/2001/XMLSchema" xmlns:p="http://schemas.microsoft.com/office/2006/metadata/properties" xmlns:ns2="ce0c2ff3-a928-45cb-bc2c-041d32d5bb4c" xmlns:ns3="534362a4-4147-4f2e-849b-3885f6897121" xmlns:ns4="e85da3cd-f8c0-4177-9d4b-29f4f21e59fa" targetNamespace="http://schemas.microsoft.com/office/2006/metadata/properties" ma:root="true" ma:fieldsID="2bb0aeee01a5c50d5fed8d373de1cfd7" ns2:_="" ns3:_="" ns4:_="">
    <xsd:import namespace="ce0c2ff3-a928-45cb-bc2c-041d32d5bb4c"/>
    <xsd:import namespace="534362a4-4147-4f2e-849b-3885f6897121"/>
    <xsd:import namespace="e85da3cd-f8c0-4177-9d4b-29f4f21e59fa"/>
    <xsd:element name="properties">
      <xsd:complexType>
        <xsd:sequence>
          <xsd:element name="documentManagement">
            <xsd:complexType>
              <xsd:all>
                <xsd:element ref="ns2:Approval" minOccurs="0"/>
                <xsd:element ref="ns2:Approval_Log" minOccurs="0"/>
                <xsd:element ref="ns3:_dlc_DocId" minOccurs="0"/>
                <xsd:element ref="ns3:_dlc_DocIdUrl" minOccurs="0"/>
                <xsd:element ref="ns3:_dlc_DocIdPersistId"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4:SharedWithUsers" minOccurs="0"/>
                <xsd:element ref="ns4:SharedWithDetails" minOccurs="0"/>
                <xsd:element ref="ns2:MediaServiceDateTaken"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Location" minOccurs="0"/>
                <xsd:element ref="ns2:Approvalstatus" minOccurs="0"/>
                <xsd:element ref="ns2:MediaServiceObjectDetectorVersions" minOccurs="0"/>
                <xsd:element ref="ns2:MediaServiceSearchProperties" minOccurs="0"/>
                <xsd:element ref="ns2:_Flow_SignoffStatus" minOccurs="0"/>
                <xsd:element ref="ns2:Approvedb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0c2ff3-a928-45cb-bc2c-041d32d5bb4c" elementFormDefault="qualified">
    <xsd:import namespace="http://schemas.microsoft.com/office/2006/documentManagement/types"/>
    <xsd:import namespace="http://schemas.microsoft.com/office/infopath/2007/PartnerControls"/>
    <xsd:element name="Approval" ma:index="3" nillable="true" ma:displayName="Start" ma:internalName="Approval">
      <xsd:simpleType>
        <xsd:restriction base="dms:Text">
          <xsd:maxLength value="255"/>
        </xsd:restriction>
      </xsd:simpleType>
    </xsd:element>
    <xsd:element name="Approval_Log" ma:index="4" nillable="true" ma:displayName="Info" ma:internalName="Approval_Log"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hidden="true" ma:internalName="MediaServiceAutoTags" ma:readOnly="true">
      <xsd:simpleType>
        <xsd:restriction base="dms:Text"/>
      </xsd:simpleType>
    </xsd:element>
    <xsd:element name="MediaServiceOCR" ma:index="14" nillable="true" ma:displayName="Extracted Text" ma:hidden="true" ma:internalName="MediaServiceOCR"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a007909b-dcf9-4792-9704-79f141f3a661"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dexed="true" ma:internalName="MediaServiceLocation" ma:readOnly="true">
      <xsd:simpleType>
        <xsd:restriction base="dms:Text"/>
      </xsd:simpleType>
    </xsd:element>
    <xsd:element name="Approvalstatus" ma:index="27" nillable="true" ma:displayName="Status" ma:default="New" ma:description="Approval status" ma:format="Dropdown" ma:hidden="true" ma:indexed="true" ma:internalName="Approvalstatus" ma:readOnly="false">
      <xsd:simpleType>
        <xsd:restriction base="dms:Choice">
          <xsd:enumeration value="New"/>
          <xsd:enumeration value="Approved"/>
          <xsd:enumeration value="Pending"/>
          <xsd:enumeration value="Reject"/>
        </xsd:restriction>
      </xsd:simple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element name="_Flow_SignoffStatus" ma:index="32" nillable="true" ma:displayName="Sign-off status" ma:internalName="Sign_x002d_off_x0020_status">
      <xsd:simpleType>
        <xsd:restriction base="dms:Text"/>
      </xsd:simpleType>
    </xsd:element>
    <xsd:element name="Approvedby" ma:index="33" nillable="true" ma:displayName="Approved by" ma:description="the person who has approved the document" ma:format="Dropdown" ma:list="UserInfo" ma:SharePointGroup="0" ma:internalName="Approv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3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34362a4-4147-4f2e-849b-3885f689712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hidden="true" ma:internalName="_dlc_DocId" ma:readOnly="false">
      <xsd:simpleType>
        <xsd:restriction base="dms:Text"/>
      </xsd:simpleType>
    </xsd:element>
    <xsd:element name="_dlc_DocIdUrl" ma:index="9"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e85da3cd-f8c0-4177-9d4b-29f4f21e59fa" elementFormDefault="qualified">
    <xsd:import namespace="http://schemas.microsoft.com/office/2006/documentManagement/types"/>
    <xsd:import namespace="http://schemas.microsoft.com/office/infopath/2007/PartnerControls"/>
    <xsd:element name="SharedWithUsers" ma:index="17"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hidden="true" ma:internalName="SharedWithDetails" ma:readOnly="true">
      <xsd:simpleType>
        <xsd:restriction base="dms:Note"/>
      </xsd:simpleType>
    </xsd:element>
    <xsd:element name="TaxCatchAll" ma:index="25" nillable="true" ma:displayName="Taxonomy Catch All Column" ma:hidden="true" ma:list="{dd7adc29-278b-4fb9-8bb6-fe417c965d21}" ma:internalName="TaxCatchAll" ma:readOnly="false" ma:showField="CatchAllData" ma:web="e85da3cd-f8c0-4177-9d4b-29f4f21e59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5A2F55E-06F4-4E27-922E-7A1877EF5567}">
  <ds:schemaRefs>
    <ds:schemaRef ds:uri="http://schemas.microsoft.com/sharepoint/v3/contenttype/forms"/>
  </ds:schemaRefs>
</ds:datastoreItem>
</file>

<file path=customXml/itemProps2.xml><?xml version="1.0" encoding="utf-8"?>
<ds:datastoreItem xmlns:ds="http://schemas.openxmlformats.org/officeDocument/2006/customXml" ds:itemID="{E83A0DE0-9A9E-4922-A540-E2FADE0B5337}">
  <ds:schemaRefs>
    <ds:schemaRef ds:uri="Microsoft.SharePoint.Taxonomy.ContentTypeSync"/>
  </ds:schemaRefs>
</ds:datastoreItem>
</file>

<file path=customXml/itemProps3.xml><?xml version="1.0" encoding="utf-8"?>
<ds:datastoreItem xmlns:ds="http://schemas.openxmlformats.org/officeDocument/2006/customXml" ds:itemID="{D3CA8F00-A76E-4748-89B2-A53399F4933C}">
  <ds:schemaRefs>
    <ds:schemaRef ds:uri="http://schemas.openxmlformats.org/officeDocument/2006/bibliography"/>
  </ds:schemaRefs>
</ds:datastoreItem>
</file>

<file path=customXml/itemProps4.xml><?xml version="1.0" encoding="utf-8"?>
<ds:datastoreItem xmlns:ds="http://schemas.openxmlformats.org/officeDocument/2006/customXml" ds:itemID="{043EA419-1B8E-484D-B949-AEE07B0B4329}">
  <ds:schemaRefs>
    <ds:schemaRef ds:uri="http://schemas.microsoft.com/office/2006/metadata/properties"/>
    <ds:schemaRef ds:uri="http://schemas.microsoft.com/office/infopath/2007/PartnerControls"/>
    <ds:schemaRef ds:uri="e85da3cd-f8c0-4177-9d4b-29f4f21e59fa"/>
    <ds:schemaRef ds:uri="ce0c2ff3-a928-45cb-bc2c-041d32d5bb4c"/>
    <ds:schemaRef ds:uri="534362a4-4147-4f2e-849b-3885f6897121"/>
  </ds:schemaRefs>
</ds:datastoreItem>
</file>

<file path=customXml/itemProps5.xml><?xml version="1.0" encoding="utf-8"?>
<ds:datastoreItem xmlns:ds="http://schemas.openxmlformats.org/officeDocument/2006/customXml" ds:itemID="{A7CCC96A-309E-4B26-AE33-4230A91108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0c2ff3-a928-45cb-bc2c-041d32d5bb4c"/>
    <ds:schemaRef ds:uri="534362a4-4147-4f2e-849b-3885f6897121"/>
    <ds:schemaRef ds:uri="e85da3cd-f8c0-4177-9d4b-29f4f21e59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1661</Words>
  <Characters>9474</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Campbell, James</dc:creator>
  <cp:keywords/>
  <dc:description/>
  <cp:lastModifiedBy>Bogerd, Shaja</cp:lastModifiedBy>
  <cp:revision>2</cp:revision>
  <dcterms:created xsi:type="dcterms:W3CDTF">2026-09-08T08:53:00Z</dcterms:created>
  <dcterms:modified xsi:type="dcterms:W3CDTF">2026-09-08T08:53:00Z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4da07a6-bb6b-4ce3-8ae9-d00fb5800c48_Enabled">
    <vt:lpwstr>true</vt:lpwstr>
  </property>
  <property fmtid="{D5CDD505-2E9C-101B-9397-08002B2CF9AE}" pid="3" name="MSIP_Label_04da07a6-bb6b-4ce3-8ae9-d00fb5800c48_SetDate">
    <vt:lpwstr>2026-07-20T11:39:26Z</vt:lpwstr>
  </property>
  <property fmtid="{D5CDD505-2E9C-101B-9397-08002B2CF9AE}" pid="4" name="MSIP_Label_04da07a6-bb6b-4ce3-8ae9-d00fb5800c48_Method">
    <vt:lpwstr>Standard</vt:lpwstr>
  </property>
  <property fmtid="{D5CDD505-2E9C-101B-9397-08002B2CF9AE}" pid="5" name="MSIP_Label_04da07a6-bb6b-4ce3-8ae9-d00fb5800c48_Name">
    <vt:lpwstr>04da07a6-bb6b-4ce3-8ae9-d00fb5800c48</vt:lpwstr>
  </property>
  <property fmtid="{D5CDD505-2E9C-101B-9397-08002B2CF9AE}" pid="6" name="MSIP_Label_04da07a6-bb6b-4ce3-8ae9-d00fb5800c48_SiteId">
    <vt:lpwstr>71dd74e2-a620-4a8e-9ac4-a19e1ff9ddff</vt:lpwstr>
  </property>
  <property fmtid="{D5CDD505-2E9C-101B-9397-08002B2CF9AE}" pid="7" name="MSIP_Label_04da07a6-bb6b-4ce3-8ae9-d00fb5800c48_ActionId">
    <vt:lpwstr>a47880f8-350b-446f-8185-f8744f476a78</vt:lpwstr>
  </property>
  <property fmtid="{D5CDD505-2E9C-101B-9397-08002B2CF9AE}" pid="8" name="MSIP_Label_04da07a6-bb6b-4ce3-8ae9-d00fb5800c48_ContentBits">
    <vt:lpwstr>0</vt:lpwstr>
  </property>
  <property fmtid="{D5CDD505-2E9C-101B-9397-08002B2CF9AE}" pid="9" name="MSIP_Label_04da07a6-bb6b-4ce3-8ae9-d00fb5800c48_Tag">
    <vt:lpwstr>10, 3, 0, 1</vt:lpwstr>
  </property>
  <property fmtid="{D5CDD505-2E9C-101B-9397-08002B2CF9AE}" pid="10" name="ContentTypeId">
    <vt:lpwstr>0x01010044F3E3CEAA7A034189EBE19A8F6F2E83</vt:lpwstr>
  </property>
  <property fmtid="{D5CDD505-2E9C-101B-9397-08002B2CF9AE}" pid="11" name="MediaServiceImageTags">
    <vt:lpwstr/>
  </property>
  <property fmtid="{D5CDD505-2E9C-101B-9397-08002B2CF9AE}" pid="12" name="docLang">
    <vt:lpwstr>en</vt:lpwstr>
  </property>
</Properties>
</file>