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A5834" w14:textId="56E56082" w:rsidR="00D617DD" w:rsidRDefault="00D617DD" w:rsidP="0061422B">
      <w:pPr>
        <w:rPr>
          <w:b/>
          <w:bCs/>
        </w:rPr>
      </w:pPr>
      <w:r w:rsidRPr="00D617DD">
        <w:rPr>
          <w:b/>
          <w:bCs/>
          <w:highlight w:val="yellow"/>
        </w:rPr>
        <w:t>INSTITUTIONAL VERSION</w:t>
      </w:r>
    </w:p>
    <w:p w14:paraId="7EE433A2" w14:textId="5A7FD2D7" w:rsidR="0061422B" w:rsidRPr="0061422B" w:rsidRDefault="0061422B" w:rsidP="0061422B">
      <w:pPr>
        <w:rPr>
          <w:b/>
          <w:bCs/>
        </w:rPr>
      </w:pPr>
      <w:r w:rsidRPr="0061422B">
        <w:rPr>
          <w:b/>
          <w:bCs/>
        </w:rPr>
        <w:t xml:space="preserve">Agentic AI and alpha: </w:t>
      </w:r>
      <w:r w:rsidR="004206EC">
        <w:rPr>
          <w:b/>
          <w:bCs/>
        </w:rPr>
        <w:t>W</w:t>
      </w:r>
      <w:r w:rsidRPr="0061422B">
        <w:rPr>
          <w:b/>
          <w:bCs/>
        </w:rPr>
        <w:t>here the AI edge really lies</w:t>
      </w:r>
    </w:p>
    <w:p w14:paraId="139DCAAF" w14:textId="77777777" w:rsidR="0061422B" w:rsidRPr="0061422B" w:rsidRDefault="0061422B" w:rsidP="0061422B">
      <w:r w:rsidRPr="0061422B">
        <w:t>As access to powerful AI models becomes increasingly commoditized, the differentiator for asset managers is shifting from the model itself to the investment workflow built around it. Models can be licensed; workflows must be designed, refined and governed. This marks an important evolution in how artificial intelligence contributes to investment research and portfolio construction.</w:t>
      </w:r>
    </w:p>
    <w:p w14:paraId="277566BB" w14:textId="7484C071" w:rsidR="0061422B" w:rsidRPr="0061422B" w:rsidRDefault="0061422B" w:rsidP="0061422B">
      <w:r w:rsidRPr="0061422B">
        <w:t xml:space="preserve">AI has been part of quantitative investing for decades. Machine learning, natural language processing and alternative data have long helped investors identify patterns, extract signals and process information at a scale impossible manually. What is new is the rise of </w:t>
      </w:r>
      <w:r w:rsidRPr="0061422B">
        <w:rPr>
          <w:b/>
          <w:bCs/>
        </w:rPr>
        <w:t>agentic AI</w:t>
      </w:r>
      <w:r w:rsidR="004C67C0">
        <w:rPr>
          <w:b/>
          <w:bCs/>
        </w:rPr>
        <w:t>,</w:t>
      </w:r>
      <w:r>
        <w:rPr>
          <w:b/>
          <w:bCs/>
        </w:rPr>
        <w:t xml:space="preserve"> </w:t>
      </w:r>
      <w:r w:rsidRPr="0061422B">
        <w:t>where</w:t>
      </w:r>
      <w:r>
        <w:rPr>
          <w:b/>
          <w:bCs/>
        </w:rPr>
        <w:t xml:space="preserve"> </w:t>
      </w:r>
      <w:r w:rsidRPr="0061422B">
        <w:t xml:space="preserve">systems </w:t>
      </w:r>
      <w:r>
        <w:t xml:space="preserve">are </w:t>
      </w:r>
      <w:r w:rsidRPr="0061422B">
        <w:t>capable of pursuing multi</w:t>
      </w:r>
      <w:r w:rsidRPr="0061422B">
        <w:noBreakHyphen/>
        <w:t>step goals, maintaining context and selecting tools autonomously rather than simply responding to prompts. This development raises a different question: instead of asking only whether AI can forecast returns or uncover new signals, asset managers increasingly need to ask where the investment edge actually resides.</w:t>
      </w:r>
    </w:p>
    <w:p w14:paraId="5DF2CE87" w14:textId="77777777" w:rsidR="0061422B" w:rsidRPr="0061422B" w:rsidRDefault="0061422B" w:rsidP="0061422B">
      <w:pPr>
        <w:rPr>
          <w:b/>
          <w:bCs/>
        </w:rPr>
      </w:pPr>
      <w:r w:rsidRPr="0061422B">
        <w:rPr>
          <w:b/>
          <w:bCs/>
        </w:rPr>
        <w:t>From model access to workflow advantage</w:t>
      </w:r>
    </w:p>
    <w:p w14:paraId="46E9EC88" w14:textId="77777777" w:rsidR="0061422B" w:rsidRPr="0061422B" w:rsidRDefault="0061422B" w:rsidP="0061422B">
      <w:r w:rsidRPr="0061422B">
        <w:t>Early debates around AI in investing focused heavily on model capability. Could AI generate alpha? Could it automate research? Could it reveal previously hidden relationships in data? These questions still matter, but as more firms gain access to similar foundation models, model access alone is unlikely to sustain an edge.</w:t>
      </w:r>
    </w:p>
    <w:p w14:paraId="1723EEEE" w14:textId="581DB293" w:rsidR="0061422B" w:rsidRPr="0061422B" w:rsidRDefault="0061422B" w:rsidP="0061422B">
      <w:r w:rsidRPr="0061422B">
        <w:t xml:space="preserve">When powerful models can be licensed on broadly similar terms, access becomes less distinctive. The durable edge is more likely to sit in the workflow surrounding the model: how research questions are framed, how data is mapped, how validation failures are recorded, how constraints are applied and where human accountability remains. </w:t>
      </w:r>
    </w:p>
    <w:p w14:paraId="5891EBEA" w14:textId="77777777" w:rsidR="0061422B" w:rsidRPr="0061422B" w:rsidRDefault="0061422B" w:rsidP="0061422B">
      <w:pPr>
        <w:rPr>
          <w:b/>
          <w:bCs/>
        </w:rPr>
      </w:pPr>
      <w:r w:rsidRPr="0061422B">
        <w:rPr>
          <w:b/>
          <w:bCs/>
        </w:rPr>
        <w:t>From clever answers to controlled workflows</w:t>
      </w:r>
    </w:p>
    <w:p w14:paraId="71144679" w14:textId="4750B446" w:rsidR="0061422B" w:rsidRPr="0061422B" w:rsidRDefault="0061422B" w:rsidP="0061422B">
      <w:r w:rsidRPr="0061422B">
        <w:t>Agentic AI differs from a typical assistant or copilot. A copilot responds to a prompt</w:t>
      </w:r>
      <w:r w:rsidR="00953D60">
        <w:t>;</w:t>
      </w:r>
      <w:r>
        <w:t xml:space="preserve"> a</w:t>
      </w:r>
      <w:r w:rsidRPr="0061422B">
        <w:t>n agentic system can pursue a goal across several steps, carry context forward, decide which tools to call and produce an output that a person may act on.</w:t>
      </w:r>
    </w:p>
    <w:p w14:paraId="31E08153" w14:textId="28266D01" w:rsidR="0061422B" w:rsidRPr="0061422B" w:rsidRDefault="0061422B" w:rsidP="0061422B">
      <w:r w:rsidRPr="0061422B">
        <w:t xml:space="preserve">Once AI can operate across a workflow, the control question evolves. It is no longer enough to ask whether the model’s answer looks accurate; we must also ask whether the workflow was safe, reviewable and reversible. This is especially important in finance, where markets provide noisy and delayed feedback, historical samples are short and false positives can appear persuasive. </w:t>
      </w:r>
    </w:p>
    <w:p w14:paraId="0CCE2040" w14:textId="751CF262" w:rsidR="0061422B" w:rsidRPr="0061422B" w:rsidRDefault="0061422B" w:rsidP="0061422B">
      <w:r w:rsidRPr="0061422B">
        <w:t>Investment decisions also face constraints a model may not fully understand: mandate language, risk budgets, liquidity, transaction costs, benchmark exposure, tax considerations, implementation capacity and overlap with existing signals. A statistically interesting idea is not necessarily an investable one. For this reason, agentic AI should not be framed as autonomous alpha generation. A more realistic framing is that agentic AI can widen, accelerate and discipline the search for investment ideas</w:t>
      </w:r>
      <w:r w:rsidR="00D617DD">
        <w:t xml:space="preserve">, </w:t>
      </w:r>
      <w:r w:rsidRPr="0061422B">
        <w:t>if the surrounding workflow is robust enough to catch errors before they matter.</w:t>
      </w:r>
    </w:p>
    <w:p w14:paraId="5AB7FB95" w14:textId="77777777" w:rsidR="0061422B" w:rsidRPr="0061422B" w:rsidRDefault="0061422B" w:rsidP="0061422B">
      <w:pPr>
        <w:rPr>
          <w:b/>
          <w:bCs/>
        </w:rPr>
      </w:pPr>
      <w:r w:rsidRPr="0061422B">
        <w:rPr>
          <w:b/>
          <w:bCs/>
        </w:rPr>
        <w:t>Where the edge moves</w:t>
      </w:r>
    </w:p>
    <w:p w14:paraId="07303C51" w14:textId="71CB80E5" w:rsidR="0061422B" w:rsidRPr="0061422B" w:rsidRDefault="0061422B" w:rsidP="0061422B">
      <w:r w:rsidRPr="0061422B">
        <w:lastRenderedPageBreak/>
        <w:t>This is where asset managers can build something harder to copy. A frontier model can be replaced; a firm’s research history cannot</w:t>
      </w:r>
      <w:r w:rsidR="00CF2F01">
        <w:t xml:space="preserve"> </w:t>
      </w:r>
      <w:r w:rsidR="00CF2F01" w:rsidRPr="00CF2F01">
        <w:t>–</w:t>
      </w:r>
      <w:r w:rsidR="00CF2F01">
        <w:t xml:space="preserve"> </w:t>
      </w:r>
      <w:r w:rsidRPr="0061422B">
        <w:t>nor its proprietary data mappings, prior failed tests, escalation norms, portfolio construction discipline or accumulated understanding of where attractive signals tend to break down. For quantitative investors, this is familiar: research quality depends not only on identifying a promising signal, but on testing whether it is robust, incremental, implementable and aligned with portfolio objectives. Agentic AI increases the need to encode this discipline into the workflow.</w:t>
      </w:r>
    </w:p>
    <w:p w14:paraId="60869EDB" w14:textId="77777777" w:rsidR="0061422B" w:rsidRPr="0061422B" w:rsidRDefault="0061422B" w:rsidP="0061422B">
      <w:pPr>
        <w:rPr>
          <w:b/>
          <w:bCs/>
        </w:rPr>
      </w:pPr>
      <w:r w:rsidRPr="0061422B">
        <w:rPr>
          <w:b/>
          <w:bCs/>
        </w:rPr>
        <w:t>Three gates before investment review</w:t>
      </w:r>
    </w:p>
    <w:p w14:paraId="27891093" w14:textId="77777777" w:rsidR="0061422B" w:rsidRPr="0061422B" w:rsidRDefault="0061422B" w:rsidP="0061422B">
      <w:r w:rsidRPr="0061422B">
        <w:t>Controlled agentic workflows can be organized around three gates: grounding, stability and permissioning.</w:t>
      </w:r>
    </w:p>
    <w:p w14:paraId="504DA926" w14:textId="77777777" w:rsidR="0061422B" w:rsidRPr="0061422B" w:rsidRDefault="0061422B" w:rsidP="0061422B">
      <w:pPr>
        <w:numPr>
          <w:ilvl w:val="0"/>
          <w:numId w:val="4"/>
        </w:numPr>
      </w:pPr>
      <w:r w:rsidRPr="0061422B">
        <w:rPr>
          <w:b/>
          <w:bCs/>
        </w:rPr>
        <w:t>Grounding</w:t>
      </w:r>
      <w:r w:rsidRPr="0061422B">
        <w:t xml:space="preserve"> ensures information used in analysis was available at the time, preventing future data leakage.</w:t>
      </w:r>
    </w:p>
    <w:p w14:paraId="4E5EF729" w14:textId="77777777" w:rsidR="0061422B" w:rsidRPr="0061422B" w:rsidRDefault="0061422B" w:rsidP="0061422B">
      <w:pPr>
        <w:numPr>
          <w:ilvl w:val="0"/>
          <w:numId w:val="4"/>
        </w:numPr>
      </w:pPr>
      <w:r w:rsidRPr="0061422B">
        <w:rPr>
          <w:b/>
          <w:bCs/>
        </w:rPr>
        <w:t>Stability</w:t>
      </w:r>
      <w:r w:rsidRPr="0061422B">
        <w:t xml:space="preserve"> checks whether a result is robust enough to examine, not merely confident</w:t>
      </w:r>
      <w:r w:rsidRPr="0061422B">
        <w:noBreakHyphen/>
        <w:t>sounding.</w:t>
      </w:r>
    </w:p>
    <w:p w14:paraId="2C3CD05D" w14:textId="77777777" w:rsidR="0061422B" w:rsidRPr="0061422B" w:rsidRDefault="0061422B" w:rsidP="0061422B">
      <w:pPr>
        <w:numPr>
          <w:ilvl w:val="0"/>
          <w:numId w:val="4"/>
        </w:numPr>
      </w:pPr>
      <w:r w:rsidRPr="0061422B">
        <w:rPr>
          <w:b/>
          <w:bCs/>
        </w:rPr>
        <w:t>Permissioning</w:t>
      </w:r>
      <w:r w:rsidRPr="0061422B">
        <w:t xml:space="preserve"> enforces boundaries through infrastructure and approval rights rather than relying on the model’s judgment.</w:t>
      </w:r>
    </w:p>
    <w:p w14:paraId="34124BEA" w14:textId="77777777" w:rsidR="0061422B" w:rsidRPr="0061422B" w:rsidRDefault="0061422B" w:rsidP="0061422B">
      <w:r w:rsidRPr="0061422B">
        <w:t>Together, these gates help move agentic AI from a clever assistant to a controlled part of the investment process.</w:t>
      </w:r>
    </w:p>
    <w:p w14:paraId="3CF71877" w14:textId="77777777" w:rsidR="0061422B" w:rsidRPr="0061422B" w:rsidRDefault="0061422B" w:rsidP="0061422B">
      <w:pPr>
        <w:rPr>
          <w:b/>
          <w:bCs/>
        </w:rPr>
      </w:pPr>
      <w:r w:rsidRPr="0061422B">
        <w:rPr>
          <w:b/>
          <w:bCs/>
        </w:rPr>
        <w:t>A research example</w:t>
      </w:r>
    </w:p>
    <w:p w14:paraId="6E725981" w14:textId="77777777" w:rsidR="0061422B" w:rsidRPr="0061422B" w:rsidRDefault="0061422B" w:rsidP="0061422B">
      <w:r w:rsidRPr="0061422B">
        <w:t>Consider a common quant workflow. A new academic paper proposes a candidate factor. An agentic workflow can scan the paper, extract the methodology, map inputs to the firm’s research environment, run a replication, compare results with the existing model suite and draft a memo summarizing the evidence.</w:t>
      </w:r>
    </w:p>
    <w:p w14:paraId="33E0A69F" w14:textId="77777777" w:rsidR="0061422B" w:rsidRPr="0061422B" w:rsidRDefault="0061422B" w:rsidP="0061422B">
      <w:r w:rsidRPr="0061422B">
        <w:t>Before any idea influences a model or portfolio, the workflow must answer a narrower question: what, exactly, has been proven? A controlled process should show whether the signal was replicated, whether the data were point</w:t>
      </w:r>
      <w:r w:rsidRPr="0061422B">
        <w:noBreakHyphen/>
        <w:t>in</w:t>
      </w:r>
      <w:r w:rsidRPr="0061422B">
        <w:noBreakHyphen/>
        <w:t>time, whether the result survived reasonable variations, whether it is incremental to the existing model suite and whether it remains implementable after costs, liquidity, risk and mandate constraints. If the idea does not clear those hurdles, the workflow should record why. The agent can prepare evidence and surface decision points, but it should not decide to include the signal or allocate capital.</w:t>
      </w:r>
    </w:p>
    <w:p w14:paraId="4C64E5DF" w14:textId="77777777" w:rsidR="0061422B" w:rsidRPr="0061422B" w:rsidRDefault="0061422B" w:rsidP="0061422B">
      <w:pPr>
        <w:rPr>
          <w:b/>
          <w:bCs/>
        </w:rPr>
      </w:pPr>
      <w:r w:rsidRPr="0061422B">
        <w:rPr>
          <w:b/>
          <w:bCs/>
        </w:rPr>
        <w:t>What remains human</w:t>
      </w:r>
    </w:p>
    <w:p w14:paraId="55D37A1F" w14:textId="77777777" w:rsidR="0061422B" w:rsidRPr="0061422B" w:rsidRDefault="0061422B" w:rsidP="0061422B">
      <w:r w:rsidRPr="0061422B">
        <w:t>Three decisions should remain non</w:t>
      </w:r>
      <w:r w:rsidRPr="0061422B">
        <w:noBreakHyphen/>
        <w:t>delegable: whether a signal enters a model, whether capital is committed and whether the boundaries of the workflow itself should change. New tools, new data sources and more consequential actions are governance events, not choices for an agent.</w:t>
      </w:r>
    </w:p>
    <w:p w14:paraId="2D00D67F" w14:textId="77777777" w:rsidR="0061422B" w:rsidRPr="0061422B" w:rsidRDefault="0061422B" w:rsidP="0061422B">
      <w:r w:rsidRPr="0061422B">
        <w:t>In the search for alpha, the real edge may lie less in the model than in the disciplined process around it.</w:t>
      </w:r>
    </w:p>
    <w:p w14:paraId="4BB28704" w14:textId="77777777" w:rsidR="00016237" w:rsidRDefault="00016237"/>
    <w:p w14:paraId="428E0E93" w14:textId="77777777" w:rsidR="00D92F54" w:rsidRDefault="00D92F54"/>
    <w:p w14:paraId="7FDEAF55" w14:textId="77777777" w:rsidR="00EF6EF8" w:rsidRDefault="00D617DD" w:rsidP="00EF6EF8">
      <w:pPr>
        <w:pStyle w:val="DisclaimerHeading"/>
        <w:rPr>
          <w:b/>
          <w:highlight w:val="yellow"/>
        </w:rPr>
      </w:pPr>
      <w:r>
        <w:rPr>
          <w:b/>
          <w:highlight w:val="yellow"/>
        </w:rPr>
        <w:br w:type="page"/>
      </w:r>
    </w:p>
    <w:sdt>
      <w:sdtPr>
        <w:rPr>
          <w:rFonts w:asciiTheme="minorHAnsi" w:hAnsiTheme="minorHAnsi"/>
          <w:sz w:val="20"/>
          <w:szCs w:val="20"/>
        </w:rPr>
        <w:alias w:val="Non-fund"/>
        <w:tag w:val="Non-fund"/>
        <w:id w:val="-825811433"/>
        <w:placeholder>
          <w:docPart w:val="F5C81D72C97F4255B9C41C4B009CA97C"/>
        </w:placeholder>
      </w:sdtPr>
      <w:sdtContent>
        <w:p w14:paraId="29065537" w14:textId="482CF5CE" w:rsidR="00EF6EF8" w:rsidRDefault="00EF6EF8" w:rsidP="00EF6EF8">
          <w:pPr>
            <w:pStyle w:val="DisclaimerHeading"/>
            <w:rPr>
              <w:rFonts w:asciiTheme="minorHAnsi" w:hAnsiTheme="minorHAnsi"/>
              <w:sz w:val="20"/>
              <w:szCs w:val="20"/>
              <w:lang w:val="en-GB"/>
            </w:rPr>
          </w:pPr>
          <w:r w:rsidRPr="00123E37">
            <w:rPr>
              <w:rFonts w:asciiTheme="minorHAnsi" w:hAnsiTheme="minorHAnsi"/>
              <w:b/>
              <w:sz w:val="20"/>
              <w:szCs w:val="20"/>
              <w:lang w:val="en-GB"/>
            </w:rPr>
            <w:t>Important information </w:t>
          </w:r>
          <w:r w:rsidRPr="00123E37">
            <w:rPr>
              <w:rFonts w:asciiTheme="minorHAnsi" w:hAnsiTheme="minorHAnsi"/>
              <w:sz w:val="20"/>
              <w:szCs w:val="20"/>
              <w:lang w:val="en-GB"/>
            </w:rPr>
            <w:t>–</w:t>
          </w:r>
          <w:r w:rsidRPr="00123E37">
            <w:rPr>
              <w:rFonts w:asciiTheme="minorHAnsi" w:hAnsiTheme="minorHAnsi"/>
              <w:b/>
              <w:sz w:val="20"/>
              <w:szCs w:val="20"/>
              <w:lang w:val="en-GB"/>
            </w:rPr>
            <w:t> Capital at risk</w:t>
          </w:r>
          <w:r w:rsidRPr="00123E37">
            <w:rPr>
              <w:rFonts w:asciiTheme="minorHAnsi" w:hAnsiTheme="minorHAnsi"/>
              <w:sz w:val="20"/>
              <w:szCs w:val="20"/>
              <w:lang w:val="en-GB"/>
            </w:rPr>
            <w:t> </w:t>
          </w:r>
        </w:p>
        <w:p w14:paraId="72FFD993"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This information refers only to general information about Robeco Holding B.V. and/or its related, affiliated and subsidiary companies (“Robeco”), Robeco's approach, strategies and capabilities. This is a marketing communication solely intended for professional investors, defined as investors qualifying as professional clients, who have requested to be treated as professional clients or who are authorized to receive such information under any applicable laws. Unless otherwise stated, the data and information reported is sourced from Robeco, is, to the best knowledge of Robeco, accurate at the time of publication and comes without any warranties of any kind. Any opinion expressed is solely Robeco’s opinion, it is not a factual statement, and is subject to change, and in no way constitutes investment advice. This document is intended only to provide an overview of Robeco's approach and strategies. It is not a substitute for a prospectus or any other legal document concerning any specific financial instrument. The data, information, and opinions contained herein do not constitute and, under no circumstances, may be construed as an offer or an invitation or a recommendation to make investments or divestments or a solicitation to buy, sell, hold or subscribe for financial instruments or as financial, legal, tax, or investment research advice or as an invitation or to make any other use of it. All rights relating to the information in this document are and will remain the property of Robeco. This document may not be copied or used with the public. No part of this document may be reproduced or published in any form or by any means without Robeco's prior written permission. Robeco Institutional Asset Management B.V. has a license as manager of UCITS and AIFs of the Netherlands Authority for the Financial Markets in Amsterdam. </w:t>
          </w:r>
        </w:p>
        <w:p w14:paraId="5C4AC646" w14:textId="77777777" w:rsidR="00EF6EF8" w:rsidRPr="00123E37" w:rsidRDefault="00EF6EF8" w:rsidP="00EF6EF8">
          <w:pPr>
            <w:pStyle w:val="DisclaimerHeading"/>
            <w:rPr>
              <w:rFonts w:asciiTheme="minorHAnsi" w:hAnsiTheme="minorHAnsi"/>
              <w:sz w:val="20"/>
              <w:szCs w:val="20"/>
            </w:rPr>
          </w:pPr>
        </w:p>
        <w:p w14:paraId="3BA55E98"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Parts of the marketing material may involve the use of AI-assisted tools to support the creation and review of marketing materials. These tools are designed to help ensure greater consistency and efficiency. All outcomes are reviewed by human evaluators. </w:t>
          </w:r>
        </w:p>
        <w:p w14:paraId="522ACE06" w14:textId="77777777" w:rsidR="00EF6EF8" w:rsidRPr="00123E37" w:rsidRDefault="00EF6EF8" w:rsidP="00EF6EF8">
          <w:pPr>
            <w:pStyle w:val="DisclaimerHeading"/>
            <w:rPr>
              <w:rFonts w:asciiTheme="minorHAnsi" w:hAnsiTheme="minorHAnsi"/>
              <w:sz w:val="20"/>
              <w:szCs w:val="20"/>
            </w:rPr>
          </w:pPr>
        </w:p>
        <w:p w14:paraId="4F2EB018"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Australia </w:t>
          </w:r>
        </w:p>
        <w:p w14:paraId="4D26627B"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This document is distributed in Australia by Robeco Hong Kong Limited (“RHK”) (ARBN 156 512 659). RHK is exempt from the requirement to hold an Australian financial services license under section 911A(2)(ep) of the Corporations Act 2001 (Cth) in respect of the financial services it provides. RHK may only provide financial services to wholesale clients under that exemption. RHK is regulated by the Securities and Futures Commission under the laws of Hong Kong, which may differ from Australian laws. This document is distributed only to “wholesale clients” within the meaning of the Corporations Act 2001 (Cth). It is not</w:t>
          </w:r>
          <w:r w:rsidRPr="00123E37">
            <w:rPr>
              <w:rFonts w:ascii="Times New Roman" w:hAnsi="Times New Roman" w:cs="Times New Roman"/>
              <w:sz w:val="20"/>
              <w:szCs w:val="20"/>
            </w:rPr>
            <w:t> </w:t>
          </w:r>
          <w:r w:rsidRPr="00123E37">
            <w:rPr>
              <w:rFonts w:asciiTheme="minorHAnsi" w:hAnsiTheme="minorHAnsi"/>
              <w:sz w:val="20"/>
              <w:szCs w:val="20"/>
            </w:rPr>
            <w:t>intended</w:t>
          </w:r>
          <w:r w:rsidRPr="00123E37">
            <w:rPr>
              <w:rFonts w:ascii="Times New Roman" w:hAnsi="Times New Roman" w:cs="Times New Roman"/>
              <w:sz w:val="20"/>
              <w:szCs w:val="20"/>
            </w:rPr>
            <w:t> </w:t>
          </w:r>
          <w:r w:rsidRPr="00123E37">
            <w:rPr>
              <w:rFonts w:asciiTheme="minorHAnsi" w:hAnsiTheme="minorHAnsi"/>
              <w:sz w:val="20"/>
              <w:szCs w:val="20"/>
            </w:rPr>
            <w:t>for distribution or dissemination, directly or indirectly, to any other class of persons. This document is</w:t>
          </w:r>
          <w:r w:rsidRPr="00123E37">
            <w:rPr>
              <w:rFonts w:ascii="Times New Roman" w:hAnsi="Times New Roman" w:cs="Times New Roman"/>
              <w:sz w:val="20"/>
              <w:szCs w:val="20"/>
            </w:rPr>
            <w:t> </w:t>
          </w:r>
          <w:r w:rsidRPr="00123E37">
            <w:rPr>
              <w:rFonts w:asciiTheme="minorHAnsi" w:hAnsiTheme="minorHAnsi"/>
              <w:sz w:val="20"/>
              <w:szCs w:val="20"/>
            </w:rPr>
            <w:t>not intended</w:t>
          </w:r>
          <w:r w:rsidRPr="00123E37">
            <w:rPr>
              <w:rFonts w:ascii="Times New Roman" w:hAnsi="Times New Roman" w:cs="Times New Roman"/>
              <w:sz w:val="20"/>
              <w:szCs w:val="20"/>
            </w:rPr>
            <w:t> </w:t>
          </w:r>
          <w:r w:rsidRPr="00123E37">
            <w:rPr>
              <w:rFonts w:asciiTheme="minorHAnsi" w:hAnsiTheme="minorHAnsi"/>
              <w:sz w:val="20"/>
              <w:szCs w:val="20"/>
            </w:rPr>
            <w:t xml:space="preserve">for public distribution in Australia. </w:t>
          </w:r>
        </w:p>
        <w:p w14:paraId="549CF9C0"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Hong Kong </w:t>
          </w:r>
        </w:p>
        <w:p w14:paraId="25261843"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This document is issued by Robeco Hong Kong Limited, which is regulated by the Hong Kong Securities and Futures Commission (“SFC”). The contents of this document have not been reviewed by the SFC. Investment involves risks. This information does not constitute an offer to sell, a solicitation of an offer to buy, or a recommendation for any security. </w:t>
          </w:r>
        </w:p>
        <w:p w14:paraId="417D9031"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New Zealand </w:t>
          </w:r>
        </w:p>
        <w:p w14:paraId="09117714"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In New Zealand, this document is only available to “wholesale investors” within the meaning of clause 3(2) of Schedule 1 of the Financial Markets Conduct Act 2013 (‘FMCA’). This document is issued by Robeco Hong Kong Limited which does not have a place of business in New Zealand. </w:t>
          </w:r>
        </w:p>
        <w:p w14:paraId="7E11F47B"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Singapore </w:t>
          </w:r>
        </w:p>
        <w:p w14:paraId="11DD180F"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This information is for informational purposes only and should not be construed as an offer to sell or an invitation to buy any securities or products, nor as investment advice or recommendation. The contents of this document have not been reviewed by the Monetary Authority of Singapore (“MAS”). Robeco Singapore Private Limited holds a capital markets services licence for fund management issued by the MAS and is subject to certain clientele restrictions under such licence. An investment will involve a high degree of risk, and you should consider carefully whether an investment is suitable for you. </w:t>
          </w:r>
        </w:p>
        <w:p w14:paraId="69F0B736"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Switzerland </w:t>
          </w:r>
        </w:p>
        <w:p w14:paraId="52B1828F"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Robeco Switzerland Ltd is licensed by the Swiss Financial Market Supervisory Authority FINMA as a manager of collective assets. </w:t>
          </w:r>
        </w:p>
        <w:p w14:paraId="7EEA9005"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United Kingdom </w:t>
          </w:r>
        </w:p>
        <w:p w14:paraId="07A41B7D"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This information is provided by Robeco Institutional Asset Management UK Limited, 30 Fenchurch Street, Part Level 8, London EC3M 3BD, registered in England no.15362605. Robeco Institutional Asset </w:t>
          </w:r>
          <w:r w:rsidRPr="00123E37">
            <w:rPr>
              <w:rFonts w:asciiTheme="minorHAnsi" w:hAnsiTheme="minorHAnsi"/>
              <w:sz w:val="20"/>
              <w:szCs w:val="20"/>
            </w:rPr>
            <w:lastRenderedPageBreak/>
            <w:t xml:space="preserve">Management UK Limited is authorised and regulated by the Financial Conduct Authority (FCA – Reference No: 1007814). </w:t>
          </w:r>
        </w:p>
        <w:p w14:paraId="3DBF2DB4" w14:textId="77777777" w:rsidR="00EF6EF8" w:rsidRPr="00123E37" w:rsidRDefault="00EF6EF8" w:rsidP="00EF6EF8">
          <w:pPr>
            <w:pStyle w:val="DisclaimerHeading"/>
            <w:rPr>
              <w:rFonts w:asciiTheme="minorHAnsi" w:hAnsiTheme="minorHAnsi"/>
              <w:b/>
              <w:bCs w:val="0"/>
              <w:sz w:val="20"/>
              <w:szCs w:val="20"/>
            </w:rPr>
          </w:pPr>
          <w:r w:rsidRPr="00123E37">
            <w:rPr>
              <w:rFonts w:asciiTheme="minorHAnsi" w:hAnsiTheme="minorHAnsi"/>
              <w:b/>
              <w:bCs w:val="0"/>
              <w:sz w:val="20"/>
              <w:szCs w:val="20"/>
            </w:rPr>
            <w:t xml:space="preserve">US </w:t>
          </w:r>
        </w:p>
        <w:p w14:paraId="6A491B12" w14:textId="77777777" w:rsidR="00EF6EF8" w:rsidRPr="00123E37" w:rsidRDefault="00EF6EF8" w:rsidP="00EF6EF8">
          <w:pPr>
            <w:pStyle w:val="DisclaimerHeading"/>
            <w:rPr>
              <w:rFonts w:asciiTheme="minorHAnsi" w:hAnsiTheme="minorHAnsi"/>
              <w:sz w:val="20"/>
              <w:szCs w:val="20"/>
            </w:rPr>
          </w:pPr>
          <w:r w:rsidRPr="00123E37">
            <w:rPr>
              <w:rFonts w:asciiTheme="minorHAnsi" w:hAnsiTheme="minorHAnsi"/>
              <w:sz w:val="20"/>
              <w:szCs w:val="20"/>
            </w:rPr>
            <w:t xml:space="preserve">This document may be distributed in the US by Robeco Institutional Asset Management US, Inc. (“Robeco US”), an investment adviser registered with the US Securities and Exchange Commission (SEC). Such registration should not be interpreted as an endorsement or approval of Robeco US by the SEC. Robeco B.V. is considered “participating affiliate” and some of their employees are “associated persons” of Robeco US as per relevant SEC no-action guidance. Employees identified as associated persons of Robeco US perform activities directly or indirectly related to the investment advisory services provided by Robeco US. In those situations, these individuals are deemed to be acting on behalf of Robeco US. SEC regulations are applicable only to clients, prospects and investors of Robeco US. Robeco US is wholly owned subsidiary of ORIX Corporation Europe N.V. (“ORIX”), a Dutch Investment Management Firm located in Rotterdam, the Netherlands. Robeco US is located at </w:t>
          </w:r>
          <w:r w:rsidRPr="00265AC9">
            <w:rPr>
              <w:rFonts w:asciiTheme="minorHAnsi" w:hAnsiTheme="minorHAnsi"/>
              <w:sz w:val="20"/>
              <w:szCs w:val="20"/>
            </w:rPr>
            <w:t>90 Park Avenue, 21st Floor, New York, NY 10016</w:t>
          </w:r>
          <w:r w:rsidRPr="00123E37">
            <w:rPr>
              <w:rFonts w:asciiTheme="minorHAnsi" w:hAnsiTheme="minorHAnsi"/>
              <w:sz w:val="20"/>
              <w:szCs w:val="20"/>
            </w:rPr>
            <w:t>.</w:t>
          </w:r>
        </w:p>
        <w:p w14:paraId="11A062B9" w14:textId="77777777" w:rsidR="00EF6EF8" w:rsidRPr="0082213F" w:rsidRDefault="00EF6EF8" w:rsidP="00EF6EF8">
          <w:pPr>
            <w:pStyle w:val="DisclaimerHeading"/>
            <w:rPr>
              <w:rFonts w:asciiTheme="minorHAnsi" w:hAnsiTheme="minorHAnsi"/>
              <w:sz w:val="20"/>
              <w:szCs w:val="20"/>
            </w:rPr>
          </w:pPr>
        </w:p>
        <w:p w14:paraId="50F81D3C" w14:textId="77777777" w:rsidR="00EF6EF8" w:rsidRPr="0082213F" w:rsidRDefault="00EF6EF8" w:rsidP="00EF6EF8">
          <w:pPr>
            <w:pStyle w:val="DisclaimerHeading"/>
            <w:rPr>
              <w:rFonts w:asciiTheme="minorHAnsi" w:hAnsiTheme="minorHAnsi"/>
              <w:sz w:val="20"/>
              <w:szCs w:val="20"/>
            </w:rPr>
          </w:pPr>
          <w:r w:rsidRPr="0082213F">
            <w:rPr>
              <w:rFonts w:asciiTheme="minorHAnsi" w:hAnsiTheme="minorHAnsi"/>
              <w:sz w:val="20"/>
              <w:szCs w:val="20"/>
            </w:rPr>
            <w:t>© Q</w:t>
          </w:r>
          <w:r>
            <w:rPr>
              <w:rFonts w:asciiTheme="minorHAnsi" w:hAnsiTheme="minorHAnsi"/>
              <w:sz w:val="20"/>
              <w:szCs w:val="20"/>
            </w:rPr>
            <w:t>2</w:t>
          </w:r>
          <w:r w:rsidRPr="0082213F">
            <w:rPr>
              <w:rFonts w:asciiTheme="minorHAnsi" w:hAnsiTheme="minorHAnsi"/>
              <w:sz w:val="20"/>
              <w:szCs w:val="20"/>
            </w:rPr>
            <w:t>/202</w:t>
          </w:r>
          <w:r>
            <w:rPr>
              <w:rFonts w:asciiTheme="minorHAnsi" w:hAnsiTheme="minorHAnsi"/>
              <w:sz w:val="20"/>
              <w:szCs w:val="20"/>
            </w:rPr>
            <w:t>6</w:t>
          </w:r>
          <w:r w:rsidRPr="0082213F">
            <w:rPr>
              <w:rFonts w:asciiTheme="minorHAnsi" w:hAnsiTheme="minorHAnsi"/>
              <w:sz w:val="20"/>
              <w:szCs w:val="20"/>
            </w:rPr>
            <w:t xml:space="preserve"> Robeco</w:t>
          </w:r>
        </w:p>
      </w:sdtContent>
    </w:sdt>
    <w:p w14:paraId="742AEE87" w14:textId="59867251" w:rsidR="00D617DD" w:rsidRPr="005241EC" w:rsidRDefault="00D617DD" w:rsidP="00EF6EF8"/>
    <w:sectPr w:rsidR="00D617DD" w:rsidRPr="005241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0F8D"/>
    <w:multiLevelType w:val="multilevel"/>
    <w:tmpl w:val="723C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6736D"/>
    <w:multiLevelType w:val="multilevel"/>
    <w:tmpl w:val="0004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661F8F"/>
    <w:multiLevelType w:val="multilevel"/>
    <w:tmpl w:val="C6B4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B6BCA"/>
    <w:multiLevelType w:val="multilevel"/>
    <w:tmpl w:val="C7C4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71545">
    <w:abstractNumId w:val="1"/>
  </w:num>
  <w:num w:numId="2" w16cid:durableId="1540238479">
    <w:abstractNumId w:val="2"/>
  </w:num>
  <w:num w:numId="3" w16cid:durableId="617831987">
    <w:abstractNumId w:val="0"/>
  </w:num>
  <w:num w:numId="4" w16cid:durableId="823009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92F54"/>
    <w:rsid w:val="00016237"/>
    <w:rsid w:val="001E4E31"/>
    <w:rsid w:val="004206EC"/>
    <w:rsid w:val="004C67C0"/>
    <w:rsid w:val="005241EC"/>
    <w:rsid w:val="0061422B"/>
    <w:rsid w:val="00953D60"/>
    <w:rsid w:val="00981341"/>
    <w:rsid w:val="00C36F2E"/>
    <w:rsid w:val="00C76785"/>
    <w:rsid w:val="00C828BF"/>
    <w:rsid w:val="00CF2F01"/>
    <w:rsid w:val="00D617DD"/>
    <w:rsid w:val="00D92F54"/>
    <w:rsid w:val="00E2196B"/>
    <w:rsid w:val="00EF6EF8"/>
    <w:rsid w:val="00F25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A913"/>
  <w15:chartTrackingRefBased/>
  <w15:docId w15:val="{DAB79A5E-F022-424D-A546-9BF4656F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F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F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F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F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F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F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F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F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F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F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F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F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F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F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F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F54"/>
    <w:rPr>
      <w:rFonts w:eastAsiaTheme="majorEastAsia" w:cstheme="majorBidi"/>
      <w:color w:val="272727" w:themeColor="text1" w:themeTint="D8"/>
    </w:rPr>
  </w:style>
  <w:style w:type="paragraph" w:styleId="Title">
    <w:name w:val="Title"/>
    <w:basedOn w:val="Normal"/>
    <w:next w:val="Normal"/>
    <w:link w:val="TitleChar"/>
    <w:uiPriority w:val="10"/>
    <w:qFormat/>
    <w:rsid w:val="00D92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F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F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F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F54"/>
    <w:pPr>
      <w:spacing w:before="160"/>
      <w:jc w:val="center"/>
    </w:pPr>
    <w:rPr>
      <w:i/>
      <w:iCs/>
      <w:color w:val="404040" w:themeColor="text1" w:themeTint="BF"/>
    </w:rPr>
  </w:style>
  <w:style w:type="character" w:customStyle="1" w:styleId="QuoteChar">
    <w:name w:val="Quote Char"/>
    <w:basedOn w:val="DefaultParagraphFont"/>
    <w:link w:val="Quote"/>
    <w:uiPriority w:val="29"/>
    <w:rsid w:val="00D92F54"/>
    <w:rPr>
      <w:i/>
      <w:iCs/>
      <w:color w:val="404040" w:themeColor="text1" w:themeTint="BF"/>
    </w:rPr>
  </w:style>
  <w:style w:type="paragraph" w:styleId="ListParagraph">
    <w:name w:val="List Paragraph"/>
    <w:basedOn w:val="Normal"/>
    <w:uiPriority w:val="34"/>
    <w:qFormat/>
    <w:rsid w:val="00D92F54"/>
    <w:pPr>
      <w:ind w:left="720"/>
      <w:contextualSpacing/>
    </w:pPr>
  </w:style>
  <w:style w:type="character" w:styleId="IntenseEmphasis">
    <w:name w:val="Intense Emphasis"/>
    <w:basedOn w:val="DefaultParagraphFont"/>
    <w:uiPriority w:val="21"/>
    <w:qFormat/>
    <w:rsid w:val="00D92F54"/>
    <w:rPr>
      <w:i/>
      <w:iCs/>
      <w:color w:val="0F4761" w:themeColor="accent1" w:themeShade="BF"/>
    </w:rPr>
  </w:style>
  <w:style w:type="paragraph" w:styleId="IntenseQuote">
    <w:name w:val="Intense Quote"/>
    <w:basedOn w:val="Normal"/>
    <w:next w:val="Normal"/>
    <w:link w:val="IntenseQuoteChar"/>
    <w:uiPriority w:val="30"/>
    <w:qFormat/>
    <w:rsid w:val="00D92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F54"/>
    <w:rPr>
      <w:i/>
      <w:iCs/>
      <w:color w:val="0F4761" w:themeColor="accent1" w:themeShade="BF"/>
    </w:rPr>
  </w:style>
  <w:style w:type="character" w:styleId="IntenseReference">
    <w:name w:val="Intense Reference"/>
    <w:basedOn w:val="DefaultParagraphFont"/>
    <w:uiPriority w:val="32"/>
    <w:qFormat/>
    <w:rsid w:val="00D92F54"/>
    <w:rPr>
      <w:b/>
      <w:bCs/>
      <w:smallCaps/>
      <w:color w:val="0F4761" w:themeColor="accent1" w:themeShade="BF"/>
      <w:spacing w:val="5"/>
    </w:rPr>
  </w:style>
  <w:style w:type="paragraph" w:customStyle="1" w:styleId="DisclaimerHeading">
    <w:name w:val="_DisclaimerHeading"/>
    <w:basedOn w:val="Normal"/>
    <w:next w:val="NoSpacing"/>
    <w:qFormat/>
    <w:rsid w:val="00EF6EF8"/>
    <w:pPr>
      <w:keepNext/>
      <w:spacing w:after="0" w:line="240" w:lineRule="auto"/>
    </w:pPr>
    <w:rPr>
      <w:rFonts w:asciiTheme="majorHAnsi" w:hAnsiTheme="majorHAnsi"/>
      <w:bCs/>
      <w:kern w:val="0"/>
      <w:sz w:val="14"/>
      <w:szCs w:val="18"/>
    </w:rPr>
  </w:style>
  <w:style w:type="paragraph" w:styleId="NoSpacing">
    <w:name w:val="No Spacing"/>
    <w:uiPriority w:val="1"/>
    <w:qFormat/>
    <w:rsid w:val="00EF6E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C81D72C97F4255B9C41C4B009CA97C"/>
        <w:category>
          <w:name w:val="General"/>
          <w:gallery w:val="placeholder"/>
        </w:category>
        <w:types>
          <w:type w:val="bbPlcHdr"/>
        </w:types>
        <w:behaviors>
          <w:behavior w:val="content"/>
        </w:behaviors>
        <w:guid w:val="{F28A3A81-2381-40D6-9215-2BADCCDD4CDD}"/>
      </w:docPartPr>
      <w:docPartBody>
        <w:p w:rsidR="00561CF9" w:rsidRDefault="0062157B" w:rsidP="0062157B">
          <w:pPr>
            <w:pStyle w:val="F5C81D72C97F4255B9C41C4B009CA97C"/>
          </w:pPr>
          <w:r>
            <w:rPr>
              <w:rStyle w:val="PlaceholderText"/>
            </w:rPr>
            <w:t>Non-fund disclaimer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7B"/>
    <w:rsid w:val="00561CF9"/>
    <w:rsid w:val="0062157B"/>
    <w:rsid w:val="00981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57B"/>
    <w:rPr>
      <w:color w:val="808080"/>
    </w:rPr>
  </w:style>
  <w:style w:type="paragraph" w:customStyle="1" w:styleId="F5C81D72C97F4255B9C41C4B009CA97C">
    <w:name w:val="F5C81D72C97F4255B9C41C4B009CA97C"/>
    <w:rsid w:val="00621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5BCD5D3492FA419D72DDC1915631C0" ma:contentTypeVersion="16" ma:contentTypeDescription="Create a new document." ma:contentTypeScope="" ma:versionID="04106253ca69e99922173bfe9c19d9d6">
  <xsd:schema xmlns:xsd="http://www.w3.org/2001/XMLSchema" xmlns:xs="http://www.w3.org/2001/XMLSchema" xmlns:p="http://schemas.microsoft.com/office/2006/metadata/properties" xmlns:ns2="30d838c3-3e1d-476b-b222-c109413f74d4" xmlns:ns3="eefd88d7-d970-40ae-9eb9-f5ac2605ac07" targetNamespace="http://schemas.microsoft.com/office/2006/metadata/properties" ma:root="true" ma:fieldsID="c1a78ae2cc234414fad7fc85c3247819" ns2:_="" ns3:_="">
    <xsd:import namespace="30d838c3-3e1d-476b-b222-c109413f74d4"/>
    <xsd:import namespace="eefd88d7-d970-40ae-9eb9-f5ac2605ac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838c3-3e1d-476b-b222-c109413f7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07909b-dcf9-4792-9704-79f141f3a6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88d7-d970-40ae-9eb9-f5ac2605ac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5b5cc8d-3311-4d12-b43d-f73187db3562}" ma:internalName="TaxCatchAll" ma:showField="CatchAllData" ma:web="eefd88d7-d970-40ae-9eb9-f5ac2605ac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fd88d7-d970-40ae-9eb9-f5ac2605ac07" xsi:nil="true"/>
    <lcf76f155ced4ddcb4097134ff3c332f xmlns="30d838c3-3e1d-476b-b222-c109413f74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F6E5C0-B7E4-489F-A817-5C2F98109444}">
  <ds:schemaRefs>
    <ds:schemaRef ds:uri="http://schemas.microsoft.com/sharepoint/v3/contenttype/forms"/>
  </ds:schemaRefs>
</ds:datastoreItem>
</file>

<file path=customXml/itemProps2.xml><?xml version="1.0" encoding="utf-8"?>
<ds:datastoreItem xmlns:ds="http://schemas.openxmlformats.org/officeDocument/2006/customXml" ds:itemID="{BDFCAE0D-99B9-4A3D-84B5-A158EE3A9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838c3-3e1d-476b-b222-c109413f74d4"/>
    <ds:schemaRef ds:uri="eefd88d7-d970-40ae-9eb9-f5ac2605a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6DA26-6136-410F-B249-2F4B0FBCAA08}">
  <ds:schemaRefs>
    <ds:schemaRef ds:uri="http://schemas.microsoft.com/office/2006/metadata/properties"/>
    <ds:schemaRef ds:uri="http://schemas.microsoft.com/office/infopath/2007/PartnerControls"/>
    <ds:schemaRef ds:uri="eefd88d7-d970-40ae-9eb9-f5ac2605ac07"/>
    <ds:schemaRef ds:uri="30d838c3-3e1d-476b-b222-c109413f74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1657</Words>
  <Characters>9712</Characters>
  <Application>Microsoft Office Word</Application>
  <DocSecurity>0</DocSecurity>
  <Lines>809</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Kleef, Peter van</dc:creator>
  <cp:keywords/>
  <dc:description/>
  <cp:lastModifiedBy>Snel, Clarinda</cp:lastModifiedBy>
  <cp:revision>8</cp:revision>
  <dcterms:created xsi:type="dcterms:W3CDTF">2026-07-21T08:22:00Z</dcterms:created>
  <dcterms:modified xsi:type="dcterms:W3CDTF">2026-07-31T10:25:00Z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da07a6-bb6b-4ce3-8ae9-d00fb5800c48_Enabled">
    <vt:lpwstr>true</vt:lpwstr>
  </property>
  <property fmtid="{D5CDD505-2E9C-101B-9397-08002B2CF9AE}" pid="3" name="MSIP_Label_04da07a6-bb6b-4ce3-8ae9-d00fb5800c48_SetDate">
    <vt:lpwstr>2026-07-21T08:45:17Z</vt:lpwstr>
  </property>
  <property fmtid="{D5CDD505-2E9C-101B-9397-08002B2CF9AE}" pid="4" name="MSIP_Label_04da07a6-bb6b-4ce3-8ae9-d00fb5800c48_Method">
    <vt:lpwstr>Standard</vt:lpwstr>
  </property>
  <property fmtid="{D5CDD505-2E9C-101B-9397-08002B2CF9AE}" pid="5" name="MSIP_Label_04da07a6-bb6b-4ce3-8ae9-d00fb5800c48_Name">
    <vt:lpwstr>04da07a6-bb6b-4ce3-8ae9-d00fb5800c48</vt:lpwstr>
  </property>
  <property fmtid="{D5CDD505-2E9C-101B-9397-08002B2CF9AE}" pid="6" name="MSIP_Label_04da07a6-bb6b-4ce3-8ae9-d00fb5800c48_SiteId">
    <vt:lpwstr>71dd74e2-a620-4a8e-9ac4-a19e1ff9ddff</vt:lpwstr>
  </property>
  <property fmtid="{D5CDD505-2E9C-101B-9397-08002B2CF9AE}" pid="7" name="MSIP_Label_04da07a6-bb6b-4ce3-8ae9-d00fb5800c48_ActionId">
    <vt:lpwstr>6dc831cc-32c7-40f1-8094-a5c5f5eb08ec</vt:lpwstr>
  </property>
  <property fmtid="{D5CDD505-2E9C-101B-9397-08002B2CF9AE}" pid="8" name="MSIP_Label_04da07a6-bb6b-4ce3-8ae9-d00fb5800c48_ContentBits">
    <vt:lpwstr>0</vt:lpwstr>
  </property>
  <property fmtid="{D5CDD505-2E9C-101B-9397-08002B2CF9AE}" pid="9" name="MSIP_Label_04da07a6-bb6b-4ce3-8ae9-d00fb5800c48_Tag">
    <vt:lpwstr>10, 3, 0, 1</vt:lpwstr>
  </property>
  <property fmtid="{D5CDD505-2E9C-101B-9397-08002B2CF9AE}" pid="10" name="ContentTypeId">
    <vt:lpwstr>0x010100BA5BCD5D3492FA419D72DDC1915631C0</vt:lpwstr>
  </property>
  <property fmtid="{D5CDD505-2E9C-101B-9397-08002B2CF9AE}" pid="11" name="MediaServiceImageTags">
    <vt:lpwstr/>
  </property>
</Properties>
</file>