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CF1D5" w14:textId="7C0869BC" w:rsidR="003609FE" w:rsidRPr="00E4355E" w:rsidRDefault="003609FE" w:rsidP="006826CE">
      <w:pPr>
        <w:rPr>
          <w:i/>
          <w:iCs/>
          <w:sz w:val="16"/>
          <w:szCs w:val="16"/>
        </w:rPr>
      </w:pPr>
      <w:r w:rsidRPr="00E4355E">
        <w:rPr>
          <w:i/>
          <w:iCs/>
          <w:sz w:val="16"/>
          <w:szCs w:val="16"/>
        </w:rPr>
        <w:t>By Jan de Bruijn, Client Portfolio Manager</w:t>
      </w:r>
      <w:r w:rsidR="00E4355E" w:rsidRPr="00E4355E">
        <w:rPr>
          <w:i/>
          <w:iCs/>
          <w:sz w:val="16"/>
          <w:szCs w:val="16"/>
        </w:rPr>
        <w:t>, EM equities</w:t>
      </w:r>
      <w:r w:rsidRPr="00E4355E">
        <w:rPr>
          <w:i/>
          <w:iCs/>
          <w:sz w:val="16"/>
          <w:szCs w:val="16"/>
        </w:rPr>
        <w:t xml:space="preserve"> </w:t>
      </w:r>
    </w:p>
    <w:p w14:paraId="6817D1C2" w14:textId="0B436882" w:rsidR="006826CE" w:rsidRPr="006826CE" w:rsidRDefault="000F5F31" w:rsidP="006826CE">
      <w:r>
        <w:rPr>
          <w:b/>
          <w:bCs/>
        </w:rPr>
        <w:t xml:space="preserve">Emerging </w:t>
      </w:r>
      <w:r w:rsidR="008B1DE0">
        <w:rPr>
          <w:b/>
          <w:bCs/>
        </w:rPr>
        <w:t>m</w:t>
      </w:r>
      <w:r>
        <w:rPr>
          <w:b/>
          <w:bCs/>
        </w:rPr>
        <w:t>arkets</w:t>
      </w:r>
      <w:r w:rsidR="008B1DE0">
        <w:rPr>
          <w:b/>
          <w:bCs/>
        </w:rPr>
        <w:t xml:space="preserve">: </w:t>
      </w:r>
      <w:r w:rsidR="006826CE" w:rsidRPr="006826CE">
        <w:rPr>
          <w:b/>
          <w:bCs/>
        </w:rPr>
        <w:t>One index, different destinies</w:t>
      </w:r>
    </w:p>
    <w:p w14:paraId="74D6F2A3" w14:textId="33AAAF95" w:rsidR="006826CE" w:rsidRPr="006826CE" w:rsidRDefault="006826CE" w:rsidP="006826CE">
      <w:r w:rsidRPr="006826CE">
        <w:t xml:space="preserve">For three decades, allocators have bought emerging markets </w:t>
      </w:r>
      <w:r w:rsidR="007E5859">
        <w:t>on a narrative</w:t>
      </w:r>
      <w:r w:rsidR="005847A6">
        <w:t>:</w:t>
      </w:r>
      <w:r w:rsidRPr="006826CE">
        <w:t xml:space="preserve"> faster growth, better demographics, </w:t>
      </w:r>
      <w:r w:rsidR="005847A6">
        <w:t xml:space="preserve">and </w:t>
      </w:r>
      <w:r w:rsidRPr="006826CE">
        <w:t>deeper integration into world trade. It was a convenient story, and it built a large asset class</w:t>
      </w:r>
      <w:r w:rsidR="008B1DE0">
        <w:t>.</w:t>
      </w:r>
      <w:r>
        <w:t xml:space="preserve"> </w:t>
      </w:r>
      <w:r w:rsidR="008B1DE0">
        <w:t>However,</w:t>
      </w:r>
      <w:r>
        <w:t xml:space="preserve"> </w:t>
      </w:r>
      <w:r w:rsidR="00B34C8E">
        <w:t>treating EM as a monolith</w:t>
      </w:r>
      <w:r w:rsidR="008B1DE0">
        <w:t xml:space="preserve"> </w:t>
      </w:r>
      <w:r>
        <w:t>disguises the complexity inherent in investing in such a diverse universe</w:t>
      </w:r>
      <w:r w:rsidR="008B1DE0">
        <w:t xml:space="preserve"> and</w:t>
      </w:r>
      <w:r w:rsidR="00093E1B">
        <w:t xml:space="preserve">, in our view, </w:t>
      </w:r>
      <w:r w:rsidR="00CE43FC">
        <w:t>limits you</w:t>
      </w:r>
      <w:r w:rsidR="00B34C8E">
        <w:t>r performance potential</w:t>
      </w:r>
      <w:r w:rsidRPr="006826CE">
        <w:t>.</w:t>
      </w:r>
    </w:p>
    <w:p w14:paraId="75275E62" w14:textId="79DD0635" w:rsidR="006826CE" w:rsidRPr="006826CE" w:rsidRDefault="006826CE" w:rsidP="006826CE">
      <w:r w:rsidRPr="006826CE">
        <w:t xml:space="preserve">A single EM index today spans technology exporters such as Taiwan and South Korea, vast domestic economies such as India and Indonesia, manufacturing hubs such as China and Vietnam, resource producers such as Brazil and Chile, and capital-rich Gulf states such as Saudi Arabia and the UAE. These are not variations on a theme. They differ in economic structure, institutional quality, corporate governance and exposure to external shocks </w:t>
      </w:r>
      <w:r w:rsidR="009E7837">
        <w:t>–</w:t>
      </w:r>
      <w:r w:rsidRPr="006826CE">
        <w:t xml:space="preserve"> and those differences, not the aggregate growth rate, determine what investors are paid.</w:t>
      </w:r>
    </w:p>
    <w:p w14:paraId="3CABA6CB" w14:textId="1F1409CE" w:rsidR="006826CE" w:rsidRPr="006826CE" w:rsidRDefault="006826CE" w:rsidP="006826CE">
      <w:r w:rsidRPr="006826CE">
        <w:rPr>
          <w:b/>
          <w:bCs/>
        </w:rPr>
        <w:t xml:space="preserve">Growth is the raw </w:t>
      </w:r>
      <w:proofErr w:type="gramStart"/>
      <w:r w:rsidRPr="006826CE">
        <w:rPr>
          <w:b/>
          <w:bCs/>
        </w:rPr>
        <w:t xml:space="preserve">material, </w:t>
      </w:r>
      <w:r w:rsidR="006D3D3F">
        <w:rPr>
          <w:b/>
          <w:bCs/>
        </w:rPr>
        <w:t>but</w:t>
      </w:r>
      <w:proofErr w:type="gramEnd"/>
      <w:r w:rsidR="006D3D3F">
        <w:rPr>
          <w:b/>
          <w:bCs/>
        </w:rPr>
        <w:t xml:space="preserve"> doesn’t </w:t>
      </w:r>
      <w:r w:rsidR="00162F0A">
        <w:rPr>
          <w:b/>
          <w:bCs/>
        </w:rPr>
        <w:t>guarantee investor returns</w:t>
      </w:r>
      <w:r>
        <w:br/>
      </w:r>
      <w:r w:rsidRPr="006826CE">
        <w:t>The uncomfortable evidence is that GDP growth does not reliably convert into equity returns. Ritter's (2005</w:t>
      </w:r>
      <w:r w:rsidR="008A5A1C">
        <w:rPr>
          <w:rStyle w:val="EndnoteReference"/>
        </w:rPr>
        <w:endnoteReference w:id="1"/>
      </w:r>
      <w:r w:rsidRPr="006826CE">
        <w:t>) cross-country work found no dependable positive relationship between economic expansion and subsequent market performance. Growth can enrich workers, consumers and new entrants without ever reaching the owners of listed companies.</w:t>
      </w:r>
    </w:p>
    <w:p w14:paraId="202A8B6C" w14:textId="2F44121F" w:rsidR="006826CE" w:rsidRPr="006826CE" w:rsidRDefault="006826CE" w:rsidP="006826CE">
      <w:r w:rsidRPr="006826CE">
        <w:t xml:space="preserve">For equity investors, growth must survive a transmission chain: activity to revenues, revenues to profits, aggregate profits to earnings per share. Every link is breakable </w:t>
      </w:r>
      <w:r w:rsidR="009E7837">
        <w:t>–</w:t>
      </w:r>
      <w:r w:rsidRPr="006826CE">
        <w:t xml:space="preserve"> by margin compression, poor capital allocation, state intervention, dilution, weak minority protections or currency depreciation.</w:t>
      </w:r>
    </w:p>
    <w:p w14:paraId="1B337844" w14:textId="77777777" w:rsidR="006826CE" w:rsidRPr="006826CE" w:rsidRDefault="006826CE" w:rsidP="006826CE">
      <w:r w:rsidRPr="006826CE">
        <w:t>For bond investors the chain is different but no less demanding: growth must strengthen government revenues and debt sustainability, while credible monetary and fiscal policy preserves the real value of coupons and principal.</w:t>
      </w:r>
    </w:p>
    <w:p w14:paraId="20998DDD" w14:textId="4C385B10" w:rsidR="006826CE" w:rsidRPr="006826CE" w:rsidRDefault="006826CE" w:rsidP="006826CE">
      <w:r w:rsidRPr="006826CE">
        <w:t>The right question</w:t>
      </w:r>
      <w:r w:rsidR="00B07105">
        <w:t xml:space="preserve"> </w:t>
      </w:r>
      <w:r w:rsidRPr="006826CE">
        <w:t>is not which economy grows fastest</w:t>
      </w:r>
      <w:r w:rsidR="00B07105">
        <w:t xml:space="preserve">, it’s </w:t>
      </w:r>
      <w:r w:rsidRPr="006826CE">
        <w:t>which economies convert productive growth into sustainable earnings, and real investor returns.</w:t>
      </w:r>
    </w:p>
    <w:p w14:paraId="7440A12F" w14:textId="6177F445" w:rsidR="006826CE" w:rsidRPr="006826CE" w:rsidRDefault="006826CE" w:rsidP="006826CE">
      <w:r w:rsidRPr="006826CE">
        <w:rPr>
          <w:b/>
          <w:bCs/>
        </w:rPr>
        <w:t>Dispersion in prices and in risk</w:t>
      </w:r>
      <w:r w:rsidR="00D510E6">
        <w:br/>
      </w:r>
      <w:r w:rsidRPr="006826CE">
        <w:t xml:space="preserve">Valuation dispersion within the </w:t>
      </w:r>
      <w:r w:rsidR="00E051B8">
        <w:t xml:space="preserve">EM </w:t>
      </w:r>
      <w:r w:rsidRPr="006826CE">
        <w:t xml:space="preserve">index is extreme. At end-May 2026, MSCI India traded at roughly 20.2x forward earnings, against 11.6x for China, 11.0x for Indonesia and 9.7x for Brazil </w:t>
      </w:r>
      <w:r w:rsidR="009E7837">
        <w:rPr>
          <w:rFonts w:ascii="Aptos" w:hAnsi="Aptos"/>
        </w:rPr>
        <w:t>–</w:t>
      </w:r>
      <w:r w:rsidRPr="006826CE">
        <w:t xml:space="preserve"> while Vietnam approached 20x. </w:t>
      </w:r>
    </w:p>
    <w:p w14:paraId="6E748859" w14:textId="51E2E012" w:rsidR="006826CE" w:rsidRPr="006826CE" w:rsidRDefault="006826CE" w:rsidP="006826CE">
      <w:r w:rsidRPr="006826CE">
        <w:t>Risk is equally differentiated. Ten-year annuali</w:t>
      </w:r>
      <w:r w:rsidR="00103D14">
        <w:t>z</w:t>
      </w:r>
      <w:r w:rsidRPr="006826CE">
        <w:t>ed volatility in USD ran near 19% for India, 22% for Indonesia, 23</w:t>
      </w:r>
      <w:r w:rsidR="009E7837">
        <w:t>-</w:t>
      </w:r>
      <w:r w:rsidRPr="006826CE">
        <w:t xml:space="preserve">24% for China, Taiwan and Vietnam, and above 30% for Brazil and </w:t>
      </w:r>
      <w:r w:rsidRPr="006826CE">
        <w:lastRenderedPageBreak/>
        <w:t xml:space="preserve">Korea. These numbers reflect index concentration, sector cyclicality, currency behavior and liquidity as much as macro instability. </w:t>
      </w:r>
    </w:p>
    <w:p w14:paraId="162F6197" w14:textId="07BAE6B0" w:rsidR="006826CE" w:rsidRPr="006826CE" w:rsidRDefault="006826CE" w:rsidP="006826CE">
      <w:r w:rsidRPr="006826CE">
        <w:rPr>
          <w:b/>
          <w:bCs/>
        </w:rPr>
        <w:t>Four distinct return engines</w:t>
      </w:r>
      <w:r w:rsidR="00162F0A">
        <w:br/>
      </w:r>
      <w:r w:rsidRPr="006826CE">
        <w:t xml:space="preserve">Asia offers the strongest earnings machinery, but no single model. China is a selective value proposition and a potential bond diversifier </w:t>
      </w:r>
      <w:r w:rsidR="009E7837">
        <w:t>–</w:t>
      </w:r>
      <w:r w:rsidRPr="006826CE">
        <w:t xml:space="preserve"> cheap, but requiring evidence that growth reaches returns on capital and minority shareholders after the property adjustment and local-government debt overhang. India is the structural compounder, with genuine breadth across banks, industrials, consumer and healthcare</w:t>
      </w:r>
      <w:r w:rsidR="00F8697D">
        <w:t>,</w:t>
      </w:r>
      <w:r w:rsidRPr="006826CE">
        <w:t xml:space="preserve"> </w:t>
      </w:r>
      <w:r w:rsidR="00F8697D">
        <w:t>but with</w:t>
      </w:r>
      <w:r w:rsidRPr="006826CE">
        <w:t xml:space="preserve"> a valuation that has already priced considerable execution. Taiwan and Korea prove domestic GDP is irrelevant to their earnings: TSMC was almost 55% of the Taiwan index, Samsung and SK Hynix over 60% of Korea's.</w:t>
      </w:r>
      <w:r w:rsidR="009E7837">
        <w:rPr>
          <w:rStyle w:val="EndnoteReference"/>
        </w:rPr>
        <w:endnoteReference w:id="2"/>
      </w:r>
      <w:r w:rsidRPr="006826CE">
        <w:t xml:space="preserve"> Buying these markets means taking large, concentrated positions on the global AI capex cycle.</w:t>
      </w:r>
    </w:p>
    <w:p w14:paraId="32BF8D10" w14:textId="6C935257" w:rsidR="006826CE" w:rsidRPr="006826CE" w:rsidRDefault="006826CE" w:rsidP="006826CE">
      <w:r w:rsidRPr="006826CE">
        <w:t xml:space="preserve">Southeast Asia spans Indonesia's value-and-income profile </w:t>
      </w:r>
      <w:r w:rsidR="009E7837">
        <w:t>–</w:t>
      </w:r>
      <w:r w:rsidRPr="006826CE">
        <w:t xml:space="preserve"> low multiples, high yields, but a narrow financials-heavy index </w:t>
      </w:r>
      <w:r w:rsidR="009E7837">
        <w:t>–</w:t>
      </w:r>
      <w:r w:rsidRPr="006826CE">
        <w:t xml:space="preserve"> and Vietnam's higher-growth, higher-expectation model, where 8% growth in 2025 sits alongside credit intensity, governance and liquidity risks that warrant a higher required return.</w:t>
      </w:r>
    </w:p>
    <w:p w14:paraId="799362EB" w14:textId="3A34A564" w:rsidR="006826CE" w:rsidRPr="006826CE" w:rsidRDefault="006826CE" w:rsidP="006826CE">
      <w:r w:rsidRPr="006826CE">
        <w:t>Latin America inverts the Asian profile: attractive valuations and real yields, slower trend growth, greater macro volatility. Brazil at under 10x forward earnings with a 5%+ dividend yield is the region's central case</w:t>
      </w:r>
      <w:r w:rsidR="003C4290">
        <w:t xml:space="preserve">, </w:t>
      </w:r>
      <w:r w:rsidRPr="006826CE">
        <w:t>a</w:t>
      </w:r>
      <w:r w:rsidR="00B530F7">
        <w:t xml:space="preserve">ttractive valuation balanced </w:t>
      </w:r>
      <w:r w:rsidR="00122E17">
        <w:t>against</w:t>
      </w:r>
      <w:r w:rsidRPr="006826CE">
        <w:t xml:space="preserve"> fiscal </w:t>
      </w:r>
      <w:r w:rsidR="00122E17">
        <w:t>risks</w:t>
      </w:r>
      <w:r w:rsidRPr="006826CE">
        <w:t xml:space="preserve">. Mexico's nearshoring opportunity is real but partly unlisted and </w:t>
      </w:r>
      <w:proofErr w:type="gramStart"/>
      <w:r w:rsidRPr="006826CE">
        <w:t>foreign-owned</w:t>
      </w:r>
      <w:proofErr w:type="gramEnd"/>
      <w:r w:rsidRPr="006826CE">
        <w:t>.</w:t>
      </w:r>
    </w:p>
    <w:p w14:paraId="2646D5D9" w14:textId="77777777" w:rsidR="006826CE" w:rsidRPr="006826CE" w:rsidRDefault="006826CE" w:rsidP="006826CE">
      <w:r w:rsidRPr="006826CE">
        <w:t>EMEA divides between Central European convergence stories with institutional anchoring, Gulf sovereign balance-sheet plays where the test is converting resource wealth into profitable non-oil industry, and high-nominal-yield economies where inflation and depreciation can erase every nominal gain.</w:t>
      </w:r>
    </w:p>
    <w:p w14:paraId="7583340F" w14:textId="6ACAD215" w:rsidR="006826CE" w:rsidRPr="006826CE" w:rsidRDefault="006826CE" w:rsidP="006826CE">
      <w:r w:rsidRPr="006826CE">
        <w:rPr>
          <w:b/>
          <w:bCs/>
        </w:rPr>
        <w:t>The global cycle still binds</w:t>
      </w:r>
      <w:r w:rsidR="00E7134D">
        <w:br/>
      </w:r>
      <w:r w:rsidRPr="006826CE">
        <w:t xml:space="preserve">EM is </w:t>
      </w:r>
      <w:r w:rsidR="00E7134D">
        <w:t xml:space="preserve">not </w:t>
      </w:r>
      <w:r w:rsidRPr="006826CE">
        <w:t>insulated</w:t>
      </w:r>
      <w:r w:rsidR="00E7134D">
        <w:t xml:space="preserve"> from the global economic cycle</w:t>
      </w:r>
      <w:r w:rsidRPr="006826CE">
        <w:t>. BIS research (</w:t>
      </w:r>
      <w:proofErr w:type="spellStart"/>
      <w:r w:rsidRPr="006826CE">
        <w:t>Gelos</w:t>
      </w:r>
      <w:proofErr w:type="spellEnd"/>
      <w:r w:rsidRPr="006826CE">
        <w:t xml:space="preserve"> and McQuade, 2024</w:t>
      </w:r>
      <w:r w:rsidR="00BF0556">
        <w:rPr>
          <w:rStyle w:val="EndnoteReference"/>
        </w:rPr>
        <w:endnoteReference w:id="3"/>
      </w:r>
      <w:r w:rsidRPr="006826CE">
        <w:t xml:space="preserve">) identifies dollar strength as a dominant driver of EM equity and local-currency bond returns </w:t>
      </w:r>
      <w:r w:rsidR="009E7837">
        <w:t>–</w:t>
      </w:r>
      <w:r w:rsidRPr="006826CE">
        <w:t xml:space="preserve"> at times more important than rate differentials. The shift to local-currency issuance has reduced borrower mismatches and transferred FX risk to global investors. Indebtedness must be judged not by headline debt levels but by funding currency, domestic market depth, external vulnerability and policy credibility.</w:t>
      </w:r>
    </w:p>
    <w:p w14:paraId="45710707" w14:textId="77777777" w:rsidR="006826CE" w:rsidRPr="006826CE" w:rsidRDefault="006826CE" w:rsidP="006826CE">
      <w:r w:rsidRPr="006826CE">
        <w:rPr>
          <w:b/>
          <w:bCs/>
        </w:rPr>
        <w:t>The allocator's conclusion</w:t>
      </w:r>
    </w:p>
    <w:p w14:paraId="1C2780D2" w14:textId="1162DA91" w:rsidR="006826CE" w:rsidRPr="006826CE" w:rsidRDefault="006615E6" w:rsidP="006826CE">
      <w:r>
        <w:t xml:space="preserve">The key in </w:t>
      </w:r>
      <w:proofErr w:type="gramStart"/>
      <w:r>
        <w:t>EM investing</w:t>
      </w:r>
      <w:proofErr w:type="gramEnd"/>
      <w:r>
        <w:t xml:space="preserve"> is to a</w:t>
      </w:r>
      <w:r w:rsidR="006826CE" w:rsidRPr="006826CE">
        <w:t xml:space="preserve">sk which countries currently offer the best combination of earnings conversion, policy credibility and valuation. Buy structural growth only at a defensible price. Accept high yields only where credibility protects their real value. </w:t>
      </w:r>
    </w:p>
    <w:p w14:paraId="73206BDB" w14:textId="669B48C4" w:rsidR="00F7540D" w:rsidRDefault="006826CE">
      <w:r w:rsidRPr="006826CE">
        <w:lastRenderedPageBreak/>
        <w:t>In emerging markets, dispersion is not an inconvenience</w:t>
      </w:r>
      <w:r w:rsidR="00000966">
        <w:t>,</w:t>
      </w:r>
      <w:r w:rsidRPr="006826CE">
        <w:t xml:space="preserve"> </w:t>
      </w:r>
      <w:r w:rsidR="00000966">
        <w:t>i</w:t>
      </w:r>
      <w:r w:rsidRPr="006826CE">
        <w:t>t is the opportunity.</w:t>
      </w:r>
    </w:p>
    <w:sectPr w:rsidR="00F7540D">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8942D" w14:textId="77777777" w:rsidR="004E64D2" w:rsidRDefault="004E64D2" w:rsidP="008A5A1C">
      <w:pPr>
        <w:spacing w:after="0" w:line="240" w:lineRule="auto"/>
      </w:pPr>
      <w:r>
        <w:separator/>
      </w:r>
    </w:p>
  </w:endnote>
  <w:endnote w:type="continuationSeparator" w:id="0">
    <w:p w14:paraId="65149249" w14:textId="77777777" w:rsidR="004E64D2" w:rsidRDefault="004E64D2" w:rsidP="008A5A1C">
      <w:pPr>
        <w:spacing w:after="0" w:line="240" w:lineRule="auto"/>
      </w:pPr>
      <w:r>
        <w:continuationSeparator/>
      </w:r>
    </w:p>
  </w:endnote>
  <w:endnote w:id="1">
    <w:p w14:paraId="3D31F2E4" w14:textId="12899AE9" w:rsidR="008A5A1C" w:rsidRPr="00A15ED2" w:rsidRDefault="008A5A1C" w:rsidP="00A15ED2">
      <w:pPr>
        <w:spacing w:before="100" w:beforeAutospacing="1" w:after="100" w:afterAutospacing="1" w:line="240" w:lineRule="auto"/>
        <w:jc w:val="both"/>
        <w:rPr>
          <w:rFonts w:eastAsia="Times New Roman" w:cs="Times New Roman"/>
          <w:kern w:val="0"/>
          <w:sz w:val="16"/>
          <w:szCs w:val="16"/>
          <w:lang w:eastAsia="en-NL"/>
          <w14:ligatures w14:val="none"/>
        </w:rPr>
      </w:pPr>
      <w:r w:rsidRPr="00A15ED2">
        <w:rPr>
          <w:rStyle w:val="EndnoteReference"/>
          <w:sz w:val="16"/>
          <w:szCs w:val="16"/>
        </w:rPr>
        <w:endnoteRef/>
      </w:r>
      <w:r w:rsidRPr="00A15ED2">
        <w:rPr>
          <w:sz w:val="16"/>
          <w:szCs w:val="16"/>
        </w:rPr>
        <w:t xml:space="preserve"> </w:t>
      </w:r>
      <w:r w:rsidR="00642440" w:rsidRPr="00A15ED2">
        <w:rPr>
          <w:rFonts w:eastAsia="Times New Roman" w:cs="Times New Roman"/>
          <w:kern w:val="0"/>
          <w:sz w:val="16"/>
          <w:szCs w:val="16"/>
          <w:lang w:eastAsia="en-NL"/>
          <w14:ligatures w14:val="none"/>
        </w:rPr>
        <w:t xml:space="preserve">Ritter, J.R. (2005) ‘Economic growth and equity returns’, </w:t>
      </w:r>
      <w:r w:rsidR="00642440" w:rsidRPr="00A15ED2">
        <w:rPr>
          <w:rFonts w:eastAsia="Times New Roman" w:cs="Times New Roman"/>
          <w:i/>
          <w:iCs/>
          <w:kern w:val="0"/>
          <w:sz w:val="16"/>
          <w:szCs w:val="16"/>
          <w:lang w:eastAsia="en-NL"/>
          <w14:ligatures w14:val="none"/>
        </w:rPr>
        <w:t>Pacific-Basin Finance Journal</w:t>
      </w:r>
      <w:r w:rsidR="00642440" w:rsidRPr="00A15ED2">
        <w:rPr>
          <w:rFonts w:eastAsia="Times New Roman" w:cs="Times New Roman"/>
          <w:kern w:val="0"/>
          <w:sz w:val="16"/>
          <w:szCs w:val="16"/>
          <w:lang w:eastAsia="en-NL"/>
          <w14:ligatures w14:val="none"/>
        </w:rPr>
        <w:t>, 13(5), pp. 489–503.</w:t>
      </w:r>
    </w:p>
  </w:endnote>
  <w:endnote w:id="2">
    <w:p w14:paraId="0D1F4730" w14:textId="77777777" w:rsidR="009E7837" w:rsidRPr="00075A73" w:rsidRDefault="009E7837" w:rsidP="009E7837">
      <w:pPr>
        <w:pStyle w:val="Pa0"/>
        <w:jc w:val="both"/>
        <w:rPr>
          <w:rFonts w:cs="Roboto Condensed"/>
          <w:color w:val="000000"/>
          <w:sz w:val="16"/>
          <w:szCs w:val="16"/>
        </w:rPr>
      </w:pPr>
      <w:r w:rsidRPr="00A15ED2">
        <w:rPr>
          <w:rStyle w:val="EndnoteReference"/>
          <w:sz w:val="16"/>
          <w:szCs w:val="16"/>
        </w:rPr>
        <w:endnoteRef/>
      </w:r>
      <w:r w:rsidRPr="00A15ED2">
        <w:rPr>
          <w:sz w:val="16"/>
          <w:szCs w:val="16"/>
        </w:rPr>
        <w:t xml:space="preserve"> </w:t>
      </w:r>
      <w:r w:rsidRPr="00075A73">
        <w:rPr>
          <w:rFonts w:asciiTheme="minorHAnsi" w:eastAsia="Times New Roman" w:hAnsiTheme="minorHAnsi" w:cs="Times New Roman"/>
          <w:sz w:val="16"/>
          <w:szCs w:val="16"/>
          <w:lang w:eastAsia="en-NL"/>
          <w14:ligatures w14:val="none"/>
        </w:rPr>
        <w:t>The companies shown here are for illustrative purposes only. No inference can be made on the future development of the company. This is not a buy, sell, or hold recommendation.</w:t>
      </w:r>
    </w:p>
  </w:endnote>
  <w:endnote w:id="3">
    <w:p w14:paraId="72A02F2C" w14:textId="77777777" w:rsidR="00A15ED2" w:rsidRPr="00A15ED2" w:rsidRDefault="00BF0556" w:rsidP="00A15ED2">
      <w:pPr>
        <w:spacing w:before="100" w:beforeAutospacing="1" w:after="100" w:afterAutospacing="1" w:line="240" w:lineRule="auto"/>
        <w:jc w:val="both"/>
        <w:rPr>
          <w:rFonts w:eastAsia="Times New Roman" w:cs="Times New Roman"/>
          <w:kern w:val="0"/>
          <w:sz w:val="16"/>
          <w:szCs w:val="16"/>
          <w:lang w:eastAsia="en-NL"/>
          <w14:ligatures w14:val="none"/>
        </w:rPr>
      </w:pPr>
      <w:r w:rsidRPr="00A15ED2">
        <w:rPr>
          <w:rStyle w:val="EndnoteReference"/>
          <w:sz w:val="16"/>
          <w:szCs w:val="16"/>
        </w:rPr>
        <w:endnoteRef/>
      </w:r>
      <w:r w:rsidRPr="00A15ED2">
        <w:rPr>
          <w:sz w:val="16"/>
          <w:szCs w:val="16"/>
        </w:rPr>
        <w:t xml:space="preserve"> </w:t>
      </w:r>
      <w:r w:rsidR="00A15ED2" w:rsidRPr="00A15ED2">
        <w:rPr>
          <w:rFonts w:eastAsia="Times New Roman" w:cs="Times New Roman"/>
          <w:kern w:val="0"/>
          <w:sz w:val="16"/>
          <w:szCs w:val="16"/>
          <w:lang w:eastAsia="en-NL"/>
          <w14:ligatures w14:val="none"/>
        </w:rPr>
        <w:t xml:space="preserve">Gelos, G. and McQuade, P. (2024) ‘The US dollar and capital flows to EMEs’, </w:t>
      </w:r>
      <w:r w:rsidR="00A15ED2" w:rsidRPr="00A15ED2">
        <w:rPr>
          <w:rFonts w:eastAsia="Times New Roman" w:cs="Times New Roman"/>
          <w:i/>
          <w:iCs/>
          <w:kern w:val="0"/>
          <w:sz w:val="16"/>
          <w:szCs w:val="16"/>
          <w:lang w:eastAsia="en-NL"/>
          <w14:ligatures w14:val="none"/>
        </w:rPr>
        <w:t>BIS Quarterly Review</w:t>
      </w:r>
      <w:r w:rsidR="00A15ED2" w:rsidRPr="00A15ED2">
        <w:rPr>
          <w:rFonts w:eastAsia="Times New Roman" w:cs="Times New Roman"/>
          <w:kern w:val="0"/>
          <w:sz w:val="16"/>
          <w:szCs w:val="16"/>
          <w:lang w:eastAsia="en-NL"/>
          <w14:ligatures w14:val="none"/>
        </w:rPr>
        <w:t>, September 2024. Basel: Bank for International Settlements.</w:t>
      </w:r>
    </w:p>
    <w:p w14:paraId="7C733FBB" w14:textId="063EB2D5" w:rsidR="00BF0556" w:rsidRDefault="00BF0556">
      <w:pPr>
        <w:pStyle w:val="EndnoteText"/>
      </w:pPr>
    </w:p>
    <w:p w14:paraId="418F9DBF" w14:textId="77777777" w:rsidR="001656C7" w:rsidRDefault="001656C7">
      <w:pPr>
        <w:pStyle w:val="EndnoteText"/>
      </w:pPr>
    </w:p>
    <w:p w14:paraId="4620AD39" w14:textId="77777777" w:rsidR="001656C7" w:rsidRDefault="001656C7">
      <w:pPr>
        <w:pStyle w:val="EndnoteText"/>
      </w:pPr>
    </w:p>
    <w:p w14:paraId="5E9B6729" w14:textId="77777777" w:rsidR="001656C7" w:rsidRDefault="001656C7">
      <w:pPr>
        <w:pStyle w:val="EndnoteText"/>
      </w:pPr>
    </w:p>
    <w:p w14:paraId="69095657" w14:textId="77777777" w:rsidR="00A06BFB" w:rsidRDefault="00663030" w:rsidP="00A06BFB">
      <w:pPr>
        <w:pStyle w:val="DisclaimerHeading"/>
        <w:rPr>
          <w:rFonts w:asciiTheme="minorHAnsi" w:hAnsiTheme="minorHAnsi"/>
          <w:sz w:val="20"/>
          <w:szCs w:val="20"/>
        </w:rPr>
      </w:pPr>
      <w:r>
        <w:rPr>
          <w:rFonts w:ascii="Roboto Condensed" w:eastAsia="Roboto Condensed Light" w:hAnsi="Roboto Condensed" w:cs="Times New Roman"/>
          <w:bCs w:val="0"/>
          <w:sz w:val="16"/>
          <w:szCs w:val="16"/>
        </w:rPr>
        <w:br/>
      </w:r>
    </w:p>
    <w:sdt>
      <w:sdtPr>
        <w:rPr>
          <w:rFonts w:asciiTheme="minorHAnsi" w:hAnsiTheme="minorHAnsi"/>
          <w:sz w:val="20"/>
          <w:szCs w:val="20"/>
        </w:rPr>
        <w:alias w:val="Non-fund"/>
        <w:tag w:val="Non-fund"/>
        <w:id w:val="-825811433"/>
        <w:placeholder>
          <w:docPart w:val="7D2A746C4B244991A59EDC0FC9A9435B"/>
        </w:placeholder>
      </w:sdtPr>
      <w:sdtContent>
        <w:p w14:paraId="2F69D31D" w14:textId="4825B123" w:rsidR="00A06BFB" w:rsidRDefault="00A06BFB" w:rsidP="00A06BFB">
          <w:pPr>
            <w:pStyle w:val="DisclaimerHeading"/>
            <w:rPr>
              <w:rFonts w:asciiTheme="minorHAnsi" w:hAnsiTheme="minorHAnsi"/>
              <w:sz w:val="20"/>
              <w:szCs w:val="20"/>
              <w:lang w:val="en-GB"/>
            </w:rPr>
          </w:pPr>
          <w:r w:rsidRPr="00123E37">
            <w:rPr>
              <w:rFonts w:asciiTheme="minorHAnsi" w:hAnsiTheme="minorHAnsi"/>
              <w:b/>
              <w:sz w:val="20"/>
              <w:szCs w:val="20"/>
              <w:lang w:val="en-GB"/>
            </w:rPr>
            <w:t>Important information </w:t>
          </w:r>
          <w:r w:rsidRPr="00123E37">
            <w:rPr>
              <w:rFonts w:asciiTheme="minorHAnsi" w:hAnsiTheme="minorHAnsi"/>
              <w:sz w:val="20"/>
              <w:szCs w:val="20"/>
              <w:lang w:val="en-GB"/>
            </w:rPr>
            <w:t>–</w:t>
          </w:r>
          <w:r w:rsidRPr="00123E37">
            <w:rPr>
              <w:rFonts w:asciiTheme="minorHAnsi" w:hAnsiTheme="minorHAnsi"/>
              <w:b/>
              <w:sz w:val="20"/>
              <w:szCs w:val="20"/>
              <w:lang w:val="en-GB"/>
            </w:rPr>
            <w:t> Capital at risk</w:t>
          </w:r>
          <w:r w:rsidRPr="00123E37">
            <w:rPr>
              <w:rFonts w:asciiTheme="minorHAnsi" w:hAnsiTheme="minorHAnsi"/>
              <w:sz w:val="20"/>
              <w:szCs w:val="20"/>
              <w:lang w:val="en-GB"/>
            </w:rPr>
            <w:t> </w:t>
          </w:r>
        </w:p>
        <w:p w14:paraId="09D4C7C5"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This information refers only to general information about Robeco Holding B.V. and/or its related, affiliated and subsidiary companies (“Robeco”), Robeco's approach, strategies and capabilities. This is a marketing communication solely intended for professional investors, defined as investors qualifying as professional clients, who have requested to be treated as professional clients or who are authorized to receive such information under any applicable laws. Unless otherwise stated, the data and information reported is sourced from Robeco, is, to the best knowledge of Robeco, accurate at the time of publication and comes without any warranties of any kind. Any opinion expressed is solely Robeco’s opinion, it is not a factual statement, and is subject to change, and in no way constitutes investment advice. This document is intended only to provide an overview of Robeco's approach and strategies. It is not a substitute for a prospectus or any other legal document concerning any specific financial instrument. The data, information, and opinions contained herein do not constitute and, under no circumstances, may be construed as an offer or an invitation or a recommendation to make investments or divestments or a solicitation to buy, sell, hold or subscribe for financial instruments or as financial, legal, tax, or investment research advice or as an invitation or to make any other use of it. All rights relating to the information in this document are and will remain the property of Robeco. This document may not be copied or used with the public. No part of this document may be reproduced or published in any form or by any means without Robeco's prior written permission. Robeco Institutional Asset Management B.V. has a license as manager of UCITS and AIFs of the Netherlands Authority for the Financial Markets in Amsterdam. </w:t>
          </w:r>
        </w:p>
        <w:p w14:paraId="430087F0" w14:textId="77777777" w:rsidR="00A06BFB" w:rsidRPr="00123E37" w:rsidRDefault="00A06BFB" w:rsidP="00A06BFB">
          <w:pPr>
            <w:pStyle w:val="DisclaimerHeading"/>
            <w:rPr>
              <w:rFonts w:asciiTheme="minorHAnsi" w:hAnsiTheme="minorHAnsi"/>
              <w:sz w:val="20"/>
              <w:szCs w:val="20"/>
            </w:rPr>
          </w:pPr>
        </w:p>
        <w:p w14:paraId="066BE4F2"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Parts of the marketing material may involve the use of AI-assisted tools to support the creation and review of marketing materials. These tools are designed to help ensure greater consistency and efficiency. All outcomes are reviewed by human evaluators. </w:t>
          </w:r>
        </w:p>
        <w:p w14:paraId="743ADAD2" w14:textId="77777777" w:rsidR="00A06BFB" w:rsidRPr="00123E37" w:rsidRDefault="00A06BFB" w:rsidP="00A06BFB">
          <w:pPr>
            <w:pStyle w:val="DisclaimerHeading"/>
            <w:rPr>
              <w:rFonts w:asciiTheme="minorHAnsi" w:hAnsiTheme="minorHAnsi"/>
              <w:sz w:val="20"/>
              <w:szCs w:val="20"/>
            </w:rPr>
          </w:pPr>
        </w:p>
        <w:p w14:paraId="10E9B25D"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Australia </w:t>
          </w:r>
        </w:p>
        <w:p w14:paraId="706C47DD"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This document is distributed in Australia by Robeco Hong Kong Limited (“RHK”) (ARBN 156 512 659). RHK is exempt from the requirement to hold an Australian financial services license under section 911A(</w:t>
          </w:r>
          <w:proofErr w:type="gramStart"/>
          <w:r w:rsidRPr="00123E37">
            <w:rPr>
              <w:rFonts w:asciiTheme="minorHAnsi" w:hAnsiTheme="minorHAnsi"/>
              <w:sz w:val="20"/>
              <w:szCs w:val="20"/>
            </w:rPr>
            <w:t>2)(</w:t>
          </w:r>
          <w:proofErr w:type="gramEnd"/>
          <w:r w:rsidRPr="00123E37">
            <w:rPr>
              <w:rFonts w:asciiTheme="minorHAnsi" w:hAnsiTheme="minorHAnsi"/>
              <w:sz w:val="20"/>
              <w:szCs w:val="20"/>
            </w:rPr>
            <w:t>ep) of the Corporations Act 2001 (</w:t>
          </w:r>
          <w:proofErr w:type="spellStart"/>
          <w:r w:rsidRPr="00123E37">
            <w:rPr>
              <w:rFonts w:asciiTheme="minorHAnsi" w:hAnsiTheme="minorHAnsi"/>
              <w:sz w:val="20"/>
              <w:szCs w:val="20"/>
            </w:rPr>
            <w:t>Cth</w:t>
          </w:r>
          <w:proofErr w:type="spellEnd"/>
          <w:r w:rsidRPr="00123E37">
            <w:rPr>
              <w:rFonts w:asciiTheme="minorHAnsi" w:hAnsiTheme="minorHAnsi"/>
              <w:sz w:val="20"/>
              <w:szCs w:val="20"/>
            </w:rPr>
            <w:t>) in respect of the financial services it provides. RHK may only provide financial services to wholesale clients under that exemption. RHK is regulated by the Securities and Futures Commission under the laws of Hong Kong, which may differ from Australian laws. This document is distributed only to “wholesale clients” within the meaning of the Corporations Act 2001 (</w:t>
          </w:r>
          <w:proofErr w:type="spellStart"/>
          <w:r w:rsidRPr="00123E37">
            <w:rPr>
              <w:rFonts w:asciiTheme="minorHAnsi" w:hAnsiTheme="minorHAnsi"/>
              <w:sz w:val="20"/>
              <w:szCs w:val="20"/>
            </w:rPr>
            <w:t>Cth</w:t>
          </w:r>
          <w:proofErr w:type="spellEnd"/>
          <w:r w:rsidRPr="00123E37">
            <w:rPr>
              <w:rFonts w:asciiTheme="minorHAnsi" w:hAnsiTheme="minorHAnsi"/>
              <w:sz w:val="20"/>
              <w:szCs w:val="20"/>
            </w:rPr>
            <w:t>). It is not</w:t>
          </w:r>
          <w:r w:rsidRPr="00123E37">
            <w:rPr>
              <w:rFonts w:ascii="Times New Roman" w:hAnsi="Times New Roman" w:cs="Times New Roman"/>
              <w:sz w:val="20"/>
              <w:szCs w:val="20"/>
            </w:rPr>
            <w:t> </w:t>
          </w:r>
          <w:r w:rsidRPr="00123E37">
            <w:rPr>
              <w:rFonts w:asciiTheme="minorHAnsi" w:hAnsiTheme="minorHAnsi"/>
              <w:sz w:val="20"/>
              <w:szCs w:val="20"/>
            </w:rPr>
            <w:t>intended</w:t>
          </w:r>
          <w:r w:rsidRPr="00123E37">
            <w:rPr>
              <w:rFonts w:ascii="Times New Roman" w:hAnsi="Times New Roman" w:cs="Times New Roman"/>
              <w:sz w:val="20"/>
              <w:szCs w:val="20"/>
            </w:rPr>
            <w:t> </w:t>
          </w:r>
          <w:r w:rsidRPr="00123E37">
            <w:rPr>
              <w:rFonts w:asciiTheme="minorHAnsi" w:hAnsiTheme="minorHAnsi"/>
              <w:sz w:val="20"/>
              <w:szCs w:val="20"/>
            </w:rPr>
            <w:t>for distribution or dissemination, directly or indirectly, to any other class of persons. This document is</w:t>
          </w:r>
          <w:r w:rsidRPr="00123E37">
            <w:rPr>
              <w:rFonts w:ascii="Times New Roman" w:hAnsi="Times New Roman" w:cs="Times New Roman"/>
              <w:sz w:val="20"/>
              <w:szCs w:val="20"/>
            </w:rPr>
            <w:t> </w:t>
          </w:r>
          <w:r w:rsidRPr="00123E37">
            <w:rPr>
              <w:rFonts w:asciiTheme="minorHAnsi" w:hAnsiTheme="minorHAnsi"/>
              <w:sz w:val="20"/>
              <w:szCs w:val="20"/>
            </w:rPr>
            <w:t>not intended</w:t>
          </w:r>
          <w:r w:rsidRPr="00123E37">
            <w:rPr>
              <w:rFonts w:ascii="Times New Roman" w:hAnsi="Times New Roman" w:cs="Times New Roman"/>
              <w:sz w:val="20"/>
              <w:szCs w:val="20"/>
            </w:rPr>
            <w:t> </w:t>
          </w:r>
          <w:r w:rsidRPr="00123E37">
            <w:rPr>
              <w:rFonts w:asciiTheme="minorHAnsi" w:hAnsiTheme="minorHAnsi"/>
              <w:sz w:val="20"/>
              <w:szCs w:val="20"/>
            </w:rPr>
            <w:t xml:space="preserve">for public distribution in Australia. </w:t>
          </w:r>
        </w:p>
        <w:p w14:paraId="050DDE54"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Hong Kong </w:t>
          </w:r>
        </w:p>
        <w:p w14:paraId="0016E581"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This document is issued by Robeco Hong Kong Limited, which is regulated by the Hong Kong Securities and Futures Commission (“SFC”). The contents of this document have not been reviewed by the SFC. Investment involves risks. This information does not constitute an offer to sell, a solicitation of an offer to buy, or a recommendation for any security. </w:t>
          </w:r>
        </w:p>
        <w:p w14:paraId="096F470E"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New Zealand </w:t>
          </w:r>
        </w:p>
        <w:p w14:paraId="0D05989E"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In New Zealand, this document is only available to “wholesale investors” within the meaning of clause 3(2) of Schedule 1 of the Financial Markets Conduct Act 2013 (‘FMCA’). This document is issued by Robeco Hong Kong Limited which does not have a place of business in New Zealand. </w:t>
          </w:r>
        </w:p>
        <w:p w14:paraId="2ABC8CD5"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Singapore </w:t>
          </w:r>
        </w:p>
        <w:p w14:paraId="1E7387D7"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This information is for informational purposes only and should not be construed as an offer to sell or an invitation to buy any securities or products, nor as investment advice or recommendation. The contents of this document have not been reviewed by the Monetary Authority of Singapore (“MAS”). Robeco Singapore Private Limited holds a capital markets services </w:t>
          </w:r>
          <w:proofErr w:type="spellStart"/>
          <w:r w:rsidRPr="00123E37">
            <w:rPr>
              <w:rFonts w:asciiTheme="minorHAnsi" w:hAnsiTheme="minorHAnsi"/>
              <w:sz w:val="20"/>
              <w:szCs w:val="20"/>
            </w:rPr>
            <w:t>licence</w:t>
          </w:r>
          <w:proofErr w:type="spellEnd"/>
          <w:r w:rsidRPr="00123E37">
            <w:rPr>
              <w:rFonts w:asciiTheme="minorHAnsi" w:hAnsiTheme="minorHAnsi"/>
              <w:sz w:val="20"/>
              <w:szCs w:val="20"/>
            </w:rPr>
            <w:t xml:space="preserve"> for fund management issued by the MAS and is subject to certain clientele restrictions under such </w:t>
          </w:r>
          <w:proofErr w:type="spellStart"/>
          <w:r w:rsidRPr="00123E37">
            <w:rPr>
              <w:rFonts w:asciiTheme="minorHAnsi" w:hAnsiTheme="minorHAnsi"/>
              <w:sz w:val="20"/>
              <w:szCs w:val="20"/>
            </w:rPr>
            <w:t>licence</w:t>
          </w:r>
          <w:proofErr w:type="spellEnd"/>
          <w:r w:rsidRPr="00123E37">
            <w:rPr>
              <w:rFonts w:asciiTheme="minorHAnsi" w:hAnsiTheme="minorHAnsi"/>
              <w:sz w:val="20"/>
              <w:szCs w:val="20"/>
            </w:rPr>
            <w:t xml:space="preserve">. An investment will involve a high degree of risk, and you should consider carefully whether an investment is suitable for you. </w:t>
          </w:r>
        </w:p>
        <w:p w14:paraId="512EF6CE"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Switzerland </w:t>
          </w:r>
        </w:p>
        <w:p w14:paraId="11BF236A"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Robeco Switzerland Ltd is licensed by the Swiss Financial Market Supervisory Authority FINMA as a manager of collective assets. </w:t>
          </w:r>
        </w:p>
        <w:p w14:paraId="6CBE6688"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United Kingdom </w:t>
          </w:r>
        </w:p>
        <w:p w14:paraId="5F70651E"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This information is provided by Robeco Institutional Asset Management UK Limited, 30 Fenchurch Street, Part Level 8, London EC3M 3BD, registered in England no.15362605. Robeco Institutional Asset Management UK Limited is </w:t>
          </w:r>
          <w:proofErr w:type="spellStart"/>
          <w:r w:rsidRPr="00123E37">
            <w:rPr>
              <w:rFonts w:asciiTheme="minorHAnsi" w:hAnsiTheme="minorHAnsi"/>
              <w:sz w:val="20"/>
              <w:szCs w:val="20"/>
            </w:rPr>
            <w:t>authorised</w:t>
          </w:r>
          <w:proofErr w:type="spellEnd"/>
          <w:r w:rsidRPr="00123E37">
            <w:rPr>
              <w:rFonts w:asciiTheme="minorHAnsi" w:hAnsiTheme="minorHAnsi"/>
              <w:sz w:val="20"/>
              <w:szCs w:val="20"/>
            </w:rPr>
            <w:t xml:space="preserve"> and regulated by the Financial Conduct Authority (FCA – Reference No: 1007814). </w:t>
          </w:r>
        </w:p>
        <w:p w14:paraId="75E41785" w14:textId="77777777" w:rsidR="00A06BFB" w:rsidRPr="00123E37" w:rsidRDefault="00A06BFB" w:rsidP="00A06BFB">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US </w:t>
          </w:r>
        </w:p>
        <w:p w14:paraId="4A675189" w14:textId="77777777" w:rsidR="00A06BFB" w:rsidRPr="00123E37" w:rsidRDefault="00A06BFB" w:rsidP="00A06BFB">
          <w:pPr>
            <w:pStyle w:val="DisclaimerHeading"/>
            <w:rPr>
              <w:rFonts w:asciiTheme="minorHAnsi" w:hAnsiTheme="minorHAnsi"/>
              <w:sz w:val="20"/>
              <w:szCs w:val="20"/>
            </w:rPr>
          </w:pPr>
          <w:r w:rsidRPr="00123E37">
            <w:rPr>
              <w:rFonts w:asciiTheme="minorHAnsi" w:hAnsiTheme="minorHAnsi"/>
              <w:sz w:val="20"/>
              <w:szCs w:val="20"/>
            </w:rPr>
            <w:t xml:space="preserve">This document may be distributed in the US by Robeco Institutional Asset Management US, Inc. (“Robeco US”), an investment adviser registered with the US Securities and Exchange Commission (SEC). Such registration should not be interpreted as an endorsement or approval of Robeco US by the SEC. Robeco B.V. is considered “participating affiliate” and some of their employees are “associated persons” of Robeco US as per relevant SEC no-action guidance. Employees identified as associated persons of Robeco US perform activities directly or indirectly related to the investment advisory services provided by Robeco US. In those situations, these individuals are deemed to be acting on behalf of Robeco US. SEC regulations are applicable only to clients, prospects and investors of Robeco US. Robeco US is wholly owned subsidiary of ORIX Corporation Europe N.V. (“ORIX”), a Dutch Investment Management Firm located in Rotterdam, the Netherlands. Robeco US is located at </w:t>
          </w:r>
          <w:r w:rsidRPr="00265AC9">
            <w:rPr>
              <w:rFonts w:asciiTheme="minorHAnsi" w:hAnsiTheme="minorHAnsi"/>
              <w:sz w:val="20"/>
              <w:szCs w:val="20"/>
            </w:rPr>
            <w:t>90 Park Avenue, 21st Floor, New York, NY 10016</w:t>
          </w:r>
          <w:r w:rsidRPr="00123E37">
            <w:rPr>
              <w:rFonts w:asciiTheme="minorHAnsi" w:hAnsiTheme="minorHAnsi"/>
              <w:sz w:val="20"/>
              <w:szCs w:val="20"/>
            </w:rPr>
            <w:t>.</w:t>
          </w:r>
        </w:p>
        <w:p w14:paraId="78AFD74C" w14:textId="77777777" w:rsidR="00A06BFB" w:rsidRPr="0082213F" w:rsidRDefault="00A06BFB" w:rsidP="00A06BFB">
          <w:pPr>
            <w:pStyle w:val="DisclaimerHeading"/>
            <w:rPr>
              <w:rFonts w:asciiTheme="minorHAnsi" w:hAnsiTheme="minorHAnsi"/>
              <w:sz w:val="20"/>
              <w:szCs w:val="20"/>
            </w:rPr>
          </w:pPr>
        </w:p>
        <w:p w14:paraId="0CE37958" w14:textId="77777777" w:rsidR="00A06BFB" w:rsidRPr="0082213F" w:rsidRDefault="00A06BFB" w:rsidP="00A06BFB">
          <w:pPr>
            <w:pStyle w:val="DisclaimerHeading"/>
            <w:rPr>
              <w:rFonts w:asciiTheme="minorHAnsi" w:hAnsiTheme="minorHAnsi"/>
              <w:sz w:val="20"/>
              <w:szCs w:val="20"/>
            </w:rPr>
          </w:pPr>
          <w:r w:rsidRPr="0082213F">
            <w:rPr>
              <w:rFonts w:asciiTheme="minorHAnsi" w:hAnsiTheme="minorHAnsi"/>
              <w:sz w:val="20"/>
              <w:szCs w:val="20"/>
            </w:rPr>
            <w:t>© Q</w:t>
          </w:r>
          <w:r>
            <w:rPr>
              <w:rFonts w:asciiTheme="minorHAnsi" w:hAnsiTheme="minorHAnsi"/>
              <w:sz w:val="20"/>
              <w:szCs w:val="20"/>
            </w:rPr>
            <w:t>2</w:t>
          </w:r>
          <w:r w:rsidRPr="0082213F">
            <w:rPr>
              <w:rFonts w:asciiTheme="minorHAnsi" w:hAnsiTheme="minorHAnsi"/>
              <w:sz w:val="20"/>
              <w:szCs w:val="20"/>
            </w:rPr>
            <w:t>/202</w:t>
          </w:r>
          <w:r>
            <w:rPr>
              <w:rFonts w:asciiTheme="minorHAnsi" w:hAnsiTheme="minorHAnsi"/>
              <w:sz w:val="20"/>
              <w:szCs w:val="20"/>
            </w:rPr>
            <w:t>6</w:t>
          </w:r>
          <w:r w:rsidRPr="0082213F">
            <w:rPr>
              <w:rFonts w:asciiTheme="minorHAnsi" w:hAnsiTheme="minorHAnsi"/>
              <w:sz w:val="20"/>
              <w:szCs w:val="20"/>
            </w:rPr>
            <w:t xml:space="preserve"> Robeco</w:t>
          </w:r>
        </w:p>
      </w:sdtContent>
    </w:sdt>
    <w:p w14:paraId="12586FDD" w14:textId="0DB2ECD4" w:rsidR="00F10594" w:rsidRDefault="00F10594" w:rsidP="00A06BFB">
      <w:pPr>
        <w:keepNext/>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Condensed">
    <w:panose1 w:val="02000000000000000000"/>
    <w:charset w:val="00"/>
    <w:family w:val="auto"/>
    <w:pitch w:val="variable"/>
    <w:sig w:usb0="E00002FF" w:usb1="5000205B" w:usb2="00000020" w:usb3="00000000" w:csb0="0000019F" w:csb1="00000000"/>
  </w:font>
  <w:font w:name="Roboto Condensed Light">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E5466" w14:textId="77777777" w:rsidR="004E64D2" w:rsidRDefault="004E64D2" w:rsidP="008A5A1C">
      <w:pPr>
        <w:spacing w:after="0" w:line="240" w:lineRule="auto"/>
      </w:pPr>
      <w:r>
        <w:separator/>
      </w:r>
    </w:p>
  </w:footnote>
  <w:footnote w:type="continuationSeparator" w:id="0">
    <w:p w14:paraId="1CA13AE6" w14:textId="77777777" w:rsidR="004E64D2" w:rsidRDefault="004E64D2" w:rsidP="008A5A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CE"/>
    <w:rsid w:val="00000966"/>
    <w:rsid w:val="00093E1B"/>
    <w:rsid w:val="000F5F31"/>
    <w:rsid w:val="000F7844"/>
    <w:rsid w:val="00103D14"/>
    <w:rsid w:val="001136A7"/>
    <w:rsid w:val="00122E17"/>
    <w:rsid w:val="00162F0A"/>
    <w:rsid w:val="001656C7"/>
    <w:rsid w:val="002215B0"/>
    <w:rsid w:val="00227DDC"/>
    <w:rsid w:val="00300808"/>
    <w:rsid w:val="003609FE"/>
    <w:rsid w:val="003C4290"/>
    <w:rsid w:val="004E64D2"/>
    <w:rsid w:val="004F50EB"/>
    <w:rsid w:val="0053774B"/>
    <w:rsid w:val="005847A6"/>
    <w:rsid w:val="005D0CCB"/>
    <w:rsid w:val="00636DF2"/>
    <w:rsid w:val="00641457"/>
    <w:rsid w:val="00642440"/>
    <w:rsid w:val="006615E6"/>
    <w:rsid w:val="00663030"/>
    <w:rsid w:val="006826CE"/>
    <w:rsid w:val="006D3D3F"/>
    <w:rsid w:val="007B1CB3"/>
    <w:rsid w:val="007E5859"/>
    <w:rsid w:val="008A5A1C"/>
    <w:rsid w:val="008B1DE0"/>
    <w:rsid w:val="00981341"/>
    <w:rsid w:val="009E7837"/>
    <w:rsid w:val="00A06BFB"/>
    <w:rsid w:val="00A15ED2"/>
    <w:rsid w:val="00A4310F"/>
    <w:rsid w:val="00A661A9"/>
    <w:rsid w:val="00AB03F7"/>
    <w:rsid w:val="00B07105"/>
    <w:rsid w:val="00B22AE9"/>
    <w:rsid w:val="00B34C8E"/>
    <w:rsid w:val="00B530F7"/>
    <w:rsid w:val="00BC3474"/>
    <w:rsid w:val="00BF0556"/>
    <w:rsid w:val="00CB140A"/>
    <w:rsid w:val="00CE43FC"/>
    <w:rsid w:val="00CE45C7"/>
    <w:rsid w:val="00D510E6"/>
    <w:rsid w:val="00D67378"/>
    <w:rsid w:val="00DF6DAE"/>
    <w:rsid w:val="00E051B8"/>
    <w:rsid w:val="00E4355E"/>
    <w:rsid w:val="00E66BF8"/>
    <w:rsid w:val="00E7134D"/>
    <w:rsid w:val="00F10594"/>
    <w:rsid w:val="00F15971"/>
    <w:rsid w:val="00F47746"/>
    <w:rsid w:val="00F7540D"/>
    <w:rsid w:val="00F8697D"/>
    <w:rsid w:val="00FA4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5471"/>
  <w15:chartTrackingRefBased/>
  <w15:docId w15:val="{3EE0920E-ACC6-45F7-8583-3C184B11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6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6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6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6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6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6CE"/>
    <w:rPr>
      <w:rFonts w:eastAsiaTheme="majorEastAsia" w:cstheme="majorBidi"/>
      <w:color w:val="272727" w:themeColor="text1" w:themeTint="D8"/>
    </w:rPr>
  </w:style>
  <w:style w:type="paragraph" w:styleId="Title">
    <w:name w:val="Title"/>
    <w:basedOn w:val="Normal"/>
    <w:next w:val="Normal"/>
    <w:link w:val="TitleChar"/>
    <w:uiPriority w:val="10"/>
    <w:qFormat/>
    <w:rsid w:val="00682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6CE"/>
    <w:pPr>
      <w:spacing w:before="160"/>
      <w:jc w:val="center"/>
    </w:pPr>
    <w:rPr>
      <w:i/>
      <w:iCs/>
      <w:color w:val="404040" w:themeColor="text1" w:themeTint="BF"/>
    </w:rPr>
  </w:style>
  <w:style w:type="character" w:customStyle="1" w:styleId="QuoteChar">
    <w:name w:val="Quote Char"/>
    <w:basedOn w:val="DefaultParagraphFont"/>
    <w:link w:val="Quote"/>
    <w:uiPriority w:val="29"/>
    <w:rsid w:val="006826CE"/>
    <w:rPr>
      <w:i/>
      <w:iCs/>
      <w:color w:val="404040" w:themeColor="text1" w:themeTint="BF"/>
    </w:rPr>
  </w:style>
  <w:style w:type="paragraph" w:styleId="ListParagraph">
    <w:name w:val="List Paragraph"/>
    <w:basedOn w:val="Normal"/>
    <w:uiPriority w:val="34"/>
    <w:qFormat/>
    <w:rsid w:val="006826CE"/>
    <w:pPr>
      <w:ind w:left="720"/>
      <w:contextualSpacing/>
    </w:pPr>
  </w:style>
  <w:style w:type="character" w:styleId="IntenseEmphasis">
    <w:name w:val="Intense Emphasis"/>
    <w:basedOn w:val="DefaultParagraphFont"/>
    <w:uiPriority w:val="21"/>
    <w:qFormat/>
    <w:rsid w:val="006826CE"/>
    <w:rPr>
      <w:i/>
      <w:iCs/>
      <w:color w:val="0F4761" w:themeColor="accent1" w:themeShade="BF"/>
    </w:rPr>
  </w:style>
  <w:style w:type="paragraph" w:styleId="IntenseQuote">
    <w:name w:val="Intense Quote"/>
    <w:basedOn w:val="Normal"/>
    <w:next w:val="Normal"/>
    <w:link w:val="IntenseQuoteChar"/>
    <w:uiPriority w:val="30"/>
    <w:qFormat/>
    <w:rsid w:val="00682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6CE"/>
    <w:rPr>
      <w:i/>
      <w:iCs/>
      <w:color w:val="0F4761" w:themeColor="accent1" w:themeShade="BF"/>
    </w:rPr>
  </w:style>
  <w:style w:type="character" w:styleId="IntenseReference">
    <w:name w:val="Intense Reference"/>
    <w:basedOn w:val="DefaultParagraphFont"/>
    <w:uiPriority w:val="32"/>
    <w:qFormat/>
    <w:rsid w:val="006826CE"/>
    <w:rPr>
      <w:b/>
      <w:bCs/>
      <w:smallCaps/>
      <w:color w:val="0F4761" w:themeColor="accent1" w:themeShade="BF"/>
      <w:spacing w:val="5"/>
    </w:rPr>
  </w:style>
  <w:style w:type="paragraph" w:styleId="EndnoteText">
    <w:name w:val="endnote text"/>
    <w:basedOn w:val="Normal"/>
    <w:link w:val="EndnoteTextChar"/>
    <w:uiPriority w:val="99"/>
    <w:unhideWhenUsed/>
    <w:rsid w:val="008A5A1C"/>
    <w:pPr>
      <w:spacing w:after="0" w:line="240" w:lineRule="auto"/>
    </w:pPr>
    <w:rPr>
      <w:sz w:val="20"/>
      <w:szCs w:val="20"/>
    </w:rPr>
  </w:style>
  <w:style w:type="character" w:customStyle="1" w:styleId="EndnoteTextChar">
    <w:name w:val="Endnote Text Char"/>
    <w:basedOn w:val="DefaultParagraphFont"/>
    <w:link w:val="EndnoteText"/>
    <w:uiPriority w:val="99"/>
    <w:rsid w:val="008A5A1C"/>
    <w:rPr>
      <w:sz w:val="20"/>
      <w:szCs w:val="20"/>
    </w:rPr>
  </w:style>
  <w:style w:type="character" w:styleId="EndnoteReference">
    <w:name w:val="endnote reference"/>
    <w:basedOn w:val="DefaultParagraphFont"/>
    <w:uiPriority w:val="99"/>
    <w:semiHidden/>
    <w:unhideWhenUsed/>
    <w:rsid w:val="008A5A1C"/>
    <w:rPr>
      <w:vertAlign w:val="superscript"/>
    </w:rPr>
  </w:style>
  <w:style w:type="paragraph" w:styleId="Revision">
    <w:name w:val="Revision"/>
    <w:hidden/>
    <w:uiPriority w:val="99"/>
    <w:semiHidden/>
    <w:rsid w:val="009E7837"/>
    <w:pPr>
      <w:spacing w:after="0" w:line="240" w:lineRule="auto"/>
    </w:pPr>
  </w:style>
  <w:style w:type="paragraph" w:styleId="FootnoteText">
    <w:name w:val="footnote text"/>
    <w:basedOn w:val="Normal"/>
    <w:link w:val="FootnoteTextChar"/>
    <w:uiPriority w:val="99"/>
    <w:semiHidden/>
    <w:unhideWhenUsed/>
    <w:rsid w:val="009E78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837"/>
    <w:rPr>
      <w:sz w:val="20"/>
      <w:szCs w:val="20"/>
    </w:rPr>
  </w:style>
  <w:style w:type="character" w:styleId="FootnoteReference">
    <w:name w:val="footnote reference"/>
    <w:basedOn w:val="DefaultParagraphFont"/>
    <w:uiPriority w:val="99"/>
    <w:semiHidden/>
    <w:unhideWhenUsed/>
    <w:rsid w:val="009E7837"/>
    <w:rPr>
      <w:vertAlign w:val="superscript"/>
    </w:rPr>
  </w:style>
  <w:style w:type="paragraph" w:customStyle="1" w:styleId="Pa0">
    <w:name w:val="Pa0"/>
    <w:basedOn w:val="Normal"/>
    <w:next w:val="Normal"/>
    <w:uiPriority w:val="99"/>
    <w:rsid w:val="009E7837"/>
    <w:pPr>
      <w:autoSpaceDE w:val="0"/>
      <w:autoSpaceDN w:val="0"/>
      <w:adjustRightInd w:val="0"/>
      <w:spacing w:after="0" w:line="161" w:lineRule="atLeast"/>
    </w:pPr>
    <w:rPr>
      <w:rFonts w:ascii="Roboto Condensed" w:hAnsi="Roboto Condensed"/>
      <w:kern w:val="0"/>
    </w:rPr>
  </w:style>
  <w:style w:type="paragraph" w:customStyle="1" w:styleId="DisclaimerHeading">
    <w:name w:val="_DisclaimerHeading"/>
    <w:basedOn w:val="Normal"/>
    <w:next w:val="NoSpacing"/>
    <w:qFormat/>
    <w:rsid w:val="00A06BFB"/>
    <w:pPr>
      <w:keepNext/>
      <w:spacing w:after="0" w:line="240" w:lineRule="auto"/>
    </w:pPr>
    <w:rPr>
      <w:rFonts w:asciiTheme="majorHAnsi" w:hAnsiTheme="majorHAnsi"/>
      <w:bCs/>
      <w:kern w:val="0"/>
      <w:sz w:val="14"/>
      <w:szCs w:val="18"/>
      <w14:ligatures w14:val="none"/>
    </w:rPr>
  </w:style>
  <w:style w:type="paragraph" w:styleId="NoSpacing">
    <w:name w:val="No Spacing"/>
    <w:uiPriority w:val="1"/>
    <w:qFormat/>
    <w:rsid w:val="00A06B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2A746C4B244991A59EDC0FC9A9435B"/>
        <w:category>
          <w:name w:val="General"/>
          <w:gallery w:val="placeholder"/>
        </w:category>
        <w:types>
          <w:type w:val="bbPlcHdr"/>
        </w:types>
        <w:behaviors>
          <w:behavior w:val="content"/>
        </w:behaviors>
        <w:guid w:val="{DD0AE5C2-DDBF-4473-B26F-B9FA9F7F9A3D}"/>
      </w:docPartPr>
      <w:docPartBody>
        <w:p w:rsidR="003F4AFA" w:rsidRDefault="00ED249A" w:rsidP="00ED249A">
          <w:pPr>
            <w:pStyle w:val="7D2A746C4B244991A59EDC0FC9A9435B"/>
          </w:pPr>
          <w:r>
            <w:rPr>
              <w:rStyle w:val="PlaceholderText"/>
            </w:rPr>
            <w:t>Non-fund disclaimer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Condensed">
    <w:panose1 w:val="02000000000000000000"/>
    <w:charset w:val="00"/>
    <w:family w:val="auto"/>
    <w:pitch w:val="variable"/>
    <w:sig w:usb0="E00002FF" w:usb1="5000205B" w:usb2="00000020" w:usb3="00000000" w:csb0="0000019F" w:csb1="00000000"/>
  </w:font>
  <w:font w:name="Roboto Condensed Light">
    <w:panose1 w:val="02000000000000000000"/>
    <w:charset w:val="00"/>
    <w:family w:val="auto"/>
    <w:pitch w:val="variable"/>
    <w:sig w:usb0="E00002FF" w:usb1="5000205B" w:usb2="0000002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9A"/>
    <w:rsid w:val="003F4AFA"/>
    <w:rsid w:val="00981341"/>
    <w:rsid w:val="00ED2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49A"/>
    <w:rPr>
      <w:color w:val="808080"/>
    </w:rPr>
  </w:style>
  <w:style w:type="paragraph" w:customStyle="1" w:styleId="7D2A746C4B244991A59EDC0FC9A9435B">
    <w:name w:val="7D2A746C4B244991A59EDC0FC9A9435B"/>
    <w:rsid w:val="00ED2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5BCD5D3492FA419D72DDC1915631C0" ma:contentTypeVersion="16" ma:contentTypeDescription="Create a new document." ma:contentTypeScope="" ma:versionID="04106253ca69e99922173bfe9c19d9d6">
  <xsd:schema xmlns:xsd="http://www.w3.org/2001/XMLSchema" xmlns:xs="http://www.w3.org/2001/XMLSchema" xmlns:p="http://schemas.microsoft.com/office/2006/metadata/properties" xmlns:ns2="30d838c3-3e1d-476b-b222-c109413f74d4" xmlns:ns3="eefd88d7-d970-40ae-9eb9-f5ac2605ac07" targetNamespace="http://schemas.microsoft.com/office/2006/metadata/properties" ma:root="true" ma:fieldsID="c1a78ae2cc234414fad7fc85c3247819" ns2:_="" ns3:_="">
    <xsd:import namespace="30d838c3-3e1d-476b-b222-c109413f74d4"/>
    <xsd:import namespace="eefd88d7-d970-40ae-9eb9-f5ac2605ac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838c3-3e1d-476b-b222-c109413f7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07909b-dcf9-4792-9704-79f141f3a6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88d7-d970-40ae-9eb9-f5ac2605ac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b5cc8d-3311-4d12-b43d-f73187db3562}" ma:internalName="TaxCatchAll" ma:showField="CatchAllData" ma:web="eefd88d7-d970-40ae-9eb9-f5ac2605a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efd88d7-d970-40ae-9eb9-f5ac2605ac07">
      <UserInfo>
        <DisplayName/>
        <AccountId xsi:nil="true"/>
        <AccountType/>
      </UserInfo>
    </SharedWithUsers>
    <lcf76f155ced4ddcb4097134ff3c332f xmlns="30d838c3-3e1d-476b-b222-c109413f74d4">
      <Terms xmlns="http://schemas.microsoft.com/office/infopath/2007/PartnerControls"/>
    </lcf76f155ced4ddcb4097134ff3c332f>
    <TaxCatchAll xmlns="eefd88d7-d970-40ae-9eb9-f5ac2605ac07" xsi:nil="true"/>
  </documentManagement>
</p:properties>
</file>

<file path=customXml/itemProps1.xml><?xml version="1.0" encoding="utf-8"?>
<ds:datastoreItem xmlns:ds="http://schemas.openxmlformats.org/officeDocument/2006/customXml" ds:itemID="{74A65A78-984F-4C31-81CE-8517AC16D289}">
  <ds:schemaRefs>
    <ds:schemaRef ds:uri="http://schemas.openxmlformats.org/officeDocument/2006/bibliography"/>
  </ds:schemaRefs>
</ds:datastoreItem>
</file>

<file path=customXml/itemProps2.xml><?xml version="1.0" encoding="utf-8"?>
<ds:datastoreItem xmlns:ds="http://schemas.openxmlformats.org/officeDocument/2006/customXml" ds:itemID="{454FCDC9-3F28-4BE6-8912-58D8B7E29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838c3-3e1d-476b-b222-c109413f74d4"/>
    <ds:schemaRef ds:uri="eefd88d7-d970-40ae-9eb9-f5ac2605a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708E4-46D7-4D01-970F-945986F5CE92}">
  <ds:schemaRefs>
    <ds:schemaRef ds:uri="http://schemas.microsoft.com/sharepoint/v3/contenttype/forms"/>
  </ds:schemaRefs>
</ds:datastoreItem>
</file>

<file path=customXml/itemProps4.xml><?xml version="1.0" encoding="utf-8"?>
<ds:datastoreItem xmlns:ds="http://schemas.openxmlformats.org/officeDocument/2006/customXml" ds:itemID="{64D68CB1-6C1A-4D11-88FE-E69F8F6C5AC4}">
  <ds:schemaRefs>
    <ds:schemaRef ds:uri="http://schemas.microsoft.com/office/2006/metadata/properties"/>
    <ds:schemaRef ds:uri="http://schemas.microsoft.com/office/infopath/2007/PartnerControls"/>
    <ds:schemaRef ds:uri="eefd88d7-d970-40ae-9eb9-f5ac2605ac07"/>
    <ds:schemaRef ds:uri="30d838c3-3e1d-476b-b222-c109413f74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4523</Characters>
  <Application>Microsoft Office Word</Application>
  <DocSecurity>0</DocSecurity>
  <Lines>70</Lines>
  <Paragraphs>21</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James</dc:creator>
  <cp:keywords/>
  <dc:description/>
  <cp:lastModifiedBy>Snel, Clarinda</cp:lastModifiedBy>
  <cp:revision>43</cp:revision>
  <dcterms:created xsi:type="dcterms:W3CDTF">2026-07-29T12:17:00Z</dcterms:created>
  <dcterms:modified xsi:type="dcterms:W3CDTF">2026-07-31T10:35:00Z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da07a6-bb6b-4ce3-8ae9-d00fb5800c48_Enabled">
    <vt:lpwstr>true</vt:lpwstr>
  </property>
  <property fmtid="{D5CDD505-2E9C-101B-9397-08002B2CF9AE}" pid="3" name="MSIP_Label_04da07a6-bb6b-4ce3-8ae9-d00fb5800c48_SetDate">
    <vt:lpwstr>2026-07-29T12:23:17Z</vt:lpwstr>
  </property>
  <property fmtid="{D5CDD505-2E9C-101B-9397-08002B2CF9AE}" pid="4" name="MSIP_Label_04da07a6-bb6b-4ce3-8ae9-d00fb5800c48_Method">
    <vt:lpwstr>Standard</vt:lpwstr>
  </property>
  <property fmtid="{D5CDD505-2E9C-101B-9397-08002B2CF9AE}" pid="5" name="MSIP_Label_04da07a6-bb6b-4ce3-8ae9-d00fb5800c48_Name">
    <vt:lpwstr>04da07a6-bb6b-4ce3-8ae9-d00fb5800c48</vt:lpwstr>
  </property>
  <property fmtid="{D5CDD505-2E9C-101B-9397-08002B2CF9AE}" pid="6" name="MSIP_Label_04da07a6-bb6b-4ce3-8ae9-d00fb5800c48_SiteId">
    <vt:lpwstr>71dd74e2-a620-4a8e-9ac4-a19e1ff9ddff</vt:lpwstr>
  </property>
  <property fmtid="{D5CDD505-2E9C-101B-9397-08002B2CF9AE}" pid="7" name="MSIP_Label_04da07a6-bb6b-4ce3-8ae9-d00fb5800c48_ActionId">
    <vt:lpwstr>e1459081-feda-4073-93b7-9b37d6cdc546</vt:lpwstr>
  </property>
  <property fmtid="{D5CDD505-2E9C-101B-9397-08002B2CF9AE}" pid="8" name="MSIP_Label_04da07a6-bb6b-4ce3-8ae9-d00fb5800c48_ContentBits">
    <vt:lpwstr>0</vt:lpwstr>
  </property>
  <property fmtid="{D5CDD505-2E9C-101B-9397-08002B2CF9AE}" pid="9" name="MSIP_Label_04da07a6-bb6b-4ce3-8ae9-d00fb5800c48_Tag">
    <vt:lpwstr>10, 3, 0, 1</vt:lpwstr>
  </property>
  <property fmtid="{D5CDD505-2E9C-101B-9397-08002B2CF9AE}" pid="10" name="MediaServiceImageTags">
    <vt:lpwstr/>
  </property>
  <property fmtid="{D5CDD505-2E9C-101B-9397-08002B2CF9AE}" pid="11" name="ContentTypeId">
    <vt:lpwstr>0x010100BA5BCD5D3492FA419D72DDC1915631C0</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