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AC4DB" w14:textId="3E888C9E" w:rsidR="009B53EA" w:rsidRDefault="009B53EA" w:rsidP="009B53EA">
      <w:pPr>
        <w:rPr>
          <w:b/>
          <w:bCs/>
        </w:rPr>
      </w:pPr>
      <w:r w:rsidRPr="009B53EA">
        <w:rPr>
          <w:b/>
          <w:bCs/>
        </w:rPr>
        <w:t xml:space="preserve">Can systems-level investing </w:t>
      </w:r>
      <w:r w:rsidR="00C22F1C">
        <w:rPr>
          <w:b/>
          <w:bCs/>
        </w:rPr>
        <w:t>solve</w:t>
      </w:r>
      <w:r w:rsidR="0010548D">
        <w:rPr>
          <w:b/>
          <w:bCs/>
        </w:rPr>
        <w:t xml:space="preserve"> </w:t>
      </w:r>
      <w:r w:rsidR="000B5FFE">
        <w:rPr>
          <w:b/>
          <w:bCs/>
        </w:rPr>
        <w:t>social issues</w:t>
      </w:r>
      <w:r w:rsidR="00C22F1C">
        <w:rPr>
          <w:b/>
          <w:bCs/>
        </w:rPr>
        <w:t>?</w:t>
      </w:r>
    </w:p>
    <w:p w14:paraId="4E8EF55F" w14:textId="0747F33E" w:rsidR="005D4E8A" w:rsidRPr="009B53EA" w:rsidRDefault="005D4E8A" w:rsidP="005D4E8A">
      <w:r w:rsidRPr="009B53EA">
        <w:t>Systems-level investing</w:t>
      </w:r>
      <w:r>
        <w:rPr>
          <w:rStyle w:val="FootnoteReference"/>
        </w:rPr>
        <w:footnoteReference w:id="1"/>
      </w:r>
      <w:r w:rsidRPr="009B53EA">
        <w:t xml:space="preserve"> is rapidly becoming one of the most discussed ideas in sustainable finance. It promises to connect the resilience of entire economic systems to the performance of investment portfolios. At first glance, this feels like a natural evolution: if investors are universal owners, then the health of the system ultimately determines their long-term returns.</w:t>
      </w:r>
      <w:r>
        <w:t xml:space="preserve"> </w:t>
      </w:r>
      <w:r w:rsidRPr="009B53EA">
        <w:t>But is this truly a new dawn</w:t>
      </w:r>
      <w:r>
        <w:t xml:space="preserve"> </w:t>
      </w:r>
      <w:r w:rsidRPr="009B53EA">
        <w:t>or simply old wine in new bottles?</w:t>
      </w:r>
    </w:p>
    <w:p w14:paraId="13265619" w14:textId="64AB0C84" w:rsidR="00960D72" w:rsidRPr="0049073A" w:rsidRDefault="005041FD" w:rsidP="0049073A">
      <w:pPr>
        <w:pStyle w:val="ListParagraph"/>
        <w:numPr>
          <w:ilvl w:val="0"/>
          <w:numId w:val="3"/>
        </w:numPr>
        <w:rPr>
          <w:b/>
          <w:bCs/>
        </w:rPr>
      </w:pPr>
      <w:r w:rsidRPr="0049073A">
        <w:rPr>
          <w:b/>
          <w:bCs/>
        </w:rPr>
        <w:t>System</w:t>
      </w:r>
      <w:r w:rsidR="008A6015" w:rsidRPr="0049073A">
        <w:rPr>
          <w:b/>
          <w:bCs/>
        </w:rPr>
        <w:t>s</w:t>
      </w:r>
      <w:r w:rsidRPr="0049073A">
        <w:rPr>
          <w:b/>
          <w:bCs/>
        </w:rPr>
        <w:t xml:space="preserve">-level investing </w:t>
      </w:r>
      <w:r w:rsidR="00606003" w:rsidRPr="0049073A">
        <w:rPr>
          <w:b/>
          <w:bCs/>
        </w:rPr>
        <w:t>connects economic resilience to portfolio performance</w:t>
      </w:r>
    </w:p>
    <w:p w14:paraId="29C9D27F" w14:textId="5DA1238C" w:rsidR="00606003" w:rsidRDefault="00F434F2" w:rsidP="00960D72">
      <w:pPr>
        <w:pStyle w:val="ListParagraph"/>
        <w:numPr>
          <w:ilvl w:val="0"/>
          <w:numId w:val="3"/>
        </w:numPr>
        <w:rPr>
          <w:b/>
          <w:bCs/>
        </w:rPr>
      </w:pPr>
      <w:r>
        <w:rPr>
          <w:b/>
          <w:bCs/>
        </w:rPr>
        <w:t>Like climate, s</w:t>
      </w:r>
      <w:r w:rsidR="00EB2D86">
        <w:rPr>
          <w:b/>
          <w:bCs/>
        </w:rPr>
        <w:t xml:space="preserve">ocial </w:t>
      </w:r>
      <w:r w:rsidR="00702DFE">
        <w:rPr>
          <w:b/>
          <w:bCs/>
        </w:rPr>
        <w:t xml:space="preserve">resilience </w:t>
      </w:r>
      <w:r w:rsidR="00EB2D86">
        <w:rPr>
          <w:b/>
          <w:bCs/>
        </w:rPr>
        <w:t xml:space="preserve">is </w:t>
      </w:r>
      <w:r>
        <w:rPr>
          <w:b/>
          <w:bCs/>
        </w:rPr>
        <w:t xml:space="preserve">also </w:t>
      </w:r>
      <w:r w:rsidR="00EB2D86">
        <w:rPr>
          <w:b/>
          <w:bCs/>
        </w:rPr>
        <w:t xml:space="preserve">a prerequisite for </w:t>
      </w:r>
      <w:r w:rsidR="00702DFE">
        <w:rPr>
          <w:b/>
          <w:bCs/>
        </w:rPr>
        <w:t xml:space="preserve">economic </w:t>
      </w:r>
      <w:r w:rsidR="00EB2D86">
        <w:rPr>
          <w:b/>
          <w:bCs/>
        </w:rPr>
        <w:t>growth</w:t>
      </w:r>
    </w:p>
    <w:p w14:paraId="01D6D111" w14:textId="423F4B4B" w:rsidR="00EA5E79" w:rsidRDefault="00C23CC4" w:rsidP="00EA5E79">
      <w:pPr>
        <w:pStyle w:val="ListParagraph"/>
        <w:numPr>
          <w:ilvl w:val="0"/>
          <w:numId w:val="3"/>
        </w:numPr>
        <w:rPr>
          <w:b/>
          <w:bCs/>
        </w:rPr>
      </w:pPr>
      <w:r w:rsidRPr="00C23CC4">
        <w:rPr>
          <w:b/>
          <w:bCs/>
        </w:rPr>
        <w:t xml:space="preserve">Mindsets need to move </w:t>
      </w:r>
      <w:r>
        <w:rPr>
          <w:b/>
          <w:bCs/>
        </w:rPr>
        <w:t>f</w:t>
      </w:r>
      <w:r w:rsidRPr="00C23CC4">
        <w:rPr>
          <w:b/>
          <w:bCs/>
        </w:rPr>
        <w:t xml:space="preserve">rom </w:t>
      </w:r>
      <w:r w:rsidR="00EB2D86">
        <w:rPr>
          <w:b/>
          <w:bCs/>
        </w:rPr>
        <w:t>only focus</w:t>
      </w:r>
      <w:r w:rsidR="00F434F2">
        <w:rPr>
          <w:b/>
          <w:bCs/>
        </w:rPr>
        <w:t>ing</w:t>
      </w:r>
      <w:r w:rsidR="00EB2D86">
        <w:rPr>
          <w:b/>
          <w:bCs/>
        </w:rPr>
        <w:t xml:space="preserve"> on</w:t>
      </w:r>
      <w:r w:rsidR="00EB2D86" w:rsidRPr="00EB2D86">
        <w:rPr>
          <w:b/>
          <w:bCs/>
        </w:rPr>
        <w:t xml:space="preserve"> alpha</w:t>
      </w:r>
      <w:r w:rsidR="00EB2D86">
        <w:rPr>
          <w:b/>
          <w:bCs/>
        </w:rPr>
        <w:t xml:space="preserve"> to </w:t>
      </w:r>
      <w:r w:rsidR="008840D2">
        <w:rPr>
          <w:b/>
          <w:bCs/>
        </w:rPr>
        <w:t>sustaining</w:t>
      </w:r>
      <w:r w:rsidR="008840D2" w:rsidRPr="00EB2D86">
        <w:rPr>
          <w:b/>
          <w:bCs/>
        </w:rPr>
        <w:t xml:space="preserve"> </w:t>
      </w:r>
      <w:r w:rsidR="00EB2D86" w:rsidRPr="00EB2D86">
        <w:rPr>
          <w:b/>
          <w:bCs/>
        </w:rPr>
        <w:t>beta</w:t>
      </w:r>
    </w:p>
    <w:p w14:paraId="637D1013" w14:textId="45D0BB46" w:rsidR="009B53EA" w:rsidRPr="009B53EA" w:rsidRDefault="009B53EA" w:rsidP="009B53EA">
      <w:pPr>
        <w:rPr>
          <w:b/>
          <w:bCs/>
        </w:rPr>
      </w:pPr>
      <w:r w:rsidRPr="009B53EA">
        <w:rPr>
          <w:b/>
          <w:bCs/>
        </w:rPr>
        <w:t xml:space="preserve">Beyond alpha: </w:t>
      </w:r>
      <w:r w:rsidR="00CE1272">
        <w:rPr>
          <w:b/>
          <w:bCs/>
        </w:rPr>
        <w:t>I</w:t>
      </w:r>
      <w:r w:rsidRPr="009B53EA">
        <w:rPr>
          <w:b/>
          <w:bCs/>
        </w:rPr>
        <w:t>nvestors and the system they depend on</w:t>
      </w:r>
    </w:p>
    <w:p w14:paraId="4FDEA49C" w14:textId="77BD7C61" w:rsidR="009B53EA" w:rsidRPr="009B53EA" w:rsidRDefault="009B53EA" w:rsidP="009B53EA">
      <w:r w:rsidRPr="009B53EA">
        <w:t>Traditional investment approaches are built on a clear separation: investors generate alpha, while beta</w:t>
      </w:r>
      <w:r w:rsidR="00EF2185">
        <w:t xml:space="preserve"> – </w:t>
      </w:r>
      <w:r w:rsidRPr="009B53EA">
        <w:t>the broader market return</w:t>
      </w:r>
      <w:r w:rsidR="00EF2185">
        <w:t xml:space="preserve"> – </w:t>
      </w:r>
      <w:r w:rsidRPr="009B53EA">
        <w:t>is treated as exogenous</w:t>
      </w:r>
      <w:r w:rsidR="00EF2185">
        <w:t>;</w:t>
      </w:r>
      <w:r w:rsidRPr="009B53EA">
        <w:t xml:space="preserve"> something to </w:t>
      </w:r>
      <w:proofErr w:type="gramStart"/>
      <w:r w:rsidRPr="009B53EA">
        <w:t>optimize</w:t>
      </w:r>
      <w:r w:rsidR="00103FE9">
        <w:t>,</w:t>
      </w:r>
      <w:r w:rsidRPr="009B53EA">
        <w:t xml:space="preserve"> but</w:t>
      </w:r>
      <w:proofErr w:type="gramEnd"/>
      <w:r w:rsidRPr="009B53EA">
        <w:t xml:space="preserve"> not influ</w:t>
      </w:r>
      <w:r>
        <w:t>ence.</w:t>
      </w:r>
    </w:p>
    <w:p w14:paraId="2B5DCA3E" w14:textId="79DBB363" w:rsidR="009B53EA" w:rsidRPr="009B53EA" w:rsidRDefault="009B53EA" w:rsidP="009B53EA">
      <w:r w:rsidRPr="009B53EA">
        <w:t xml:space="preserve">Systems-level investing challenges this assumption. It argues that </w:t>
      </w:r>
      <w:r w:rsidRPr="00410ACF">
        <w:t xml:space="preserve">beta is not </w:t>
      </w:r>
      <w:proofErr w:type="gramStart"/>
      <w:r w:rsidRPr="00410ACF">
        <w:t>neutral</w:t>
      </w:r>
      <w:r w:rsidR="00EF2185">
        <w:t>, but</w:t>
      </w:r>
      <w:proofErr w:type="gramEnd"/>
      <w:r w:rsidR="00EF2185">
        <w:t xml:space="preserve"> instead</w:t>
      </w:r>
      <w:r w:rsidRPr="009B53EA">
        <w:t xml:space="preserve"> is shaped by systemic risks such as climate change, inequality, and institutional fragility. These risks are not diversifiable</w:t>
      </w:r>
      <w:r w:rsidR="00EF2185">
        <w:t xml:space="preserve">, </w:t>
      </w:r>
      <w:r w:rsidRPr="009B53EA">
        <w:t xml:space="preserve">and therefore </w:t>
      </w:r>
      <w:r w:rsidR="00EF2185">
        <w:t xml:space="preserve">they </w:t>
      </w:r>
      <w:r w:rsidRPr="009B53EA">
        <w:t>directly affect long-term portfolio outcomes.</w:t>
      </w:r>
    </w:p>
    <w:p w14:paraId="482470A2" w14:textId="7C7DC530" w:rsidR="009B53EA" w:rsidRPr="009B53EA" w:rsidRDefault="009B53EA" w:rsidP="009B53EA">
      <w:r w:rsidRPr="009B53EA">
        <w:t>The implication is profound: if investors depend on the system for returns, then contributing to the health of that system is not optional</w:t>
      </w:r>
      <w:r w:rsidR="00EF2185">
        <w:t xml:space="preserve"> – </w:t>
      </w:r>
      <w:r w:rsidRPr="009B53EA">
        <w:t>it is financially material.</w:t>
      </w:r>
    </w:p>
    <w:p w14:paraId="3901D4F6" w14:textId="77777777" w:rsidR="009B53EA" w:rsidRPr="009B53EA" w:rsidRDefault="009B53EA" w:rsidP="009B53EA">
      <w:pPr>
        <w:rPr>
          <w:b/>
          <w:bCs/>
        </w:rPr>
      </w:pPr>
      <w:r w:rsidRPr="009B53EA">
        <w:rPr>
          <w:b/>
          <w:bCs/>
        </w:rPr>
        <w:t>Fiduciary duty redefined</w:t>
      </w:r>
    </w:p>
    <w:p w14:paraId="1653C09B" w14:textId="103923E3" w:rsidR="009B53EA" w:rsidRPr="009B53EA" w:rsidRDefault="009B53EA" w:rsidP="009B53EA">
      <w:r w:rsidRPr="009B53EA">
        <w:t xml:space="preserve">This shift raises a fundamental question: where does an investor’s responsibility begin and end? </w:t>
      </w:r>
    </w:p>
    <w:p w14:paraId="2610A89E" w14:textId="58D23BCA" w:rsidR="009B53EA" w:rsidRPr="009B53EA" w:rsidRDefault="009B53EA" w:rsidP="009B53EA">
      <w:r w:rsidRPr="009B53EA">
        <w:t>Historically, fiduciary duty has been interpreted narrowly</w:t>
      </w:r>
      <w:r w:rsidR="00EF2185">
        <w:t xml:space="preserve">, </w:t>
      </w:r>
      <w:r w:rsidR="00A12129">
        <w:t>broadly define</w:t>
      </w:r>
      <w:r w:rsidR="0022024B">
        <w:t>d</w:t>
      </w:r>
      <w:r w:rsidR="00A12129">
        <w:t xml:space="preserve"> as </w:t>
      </w:r>
      <w:r w:rsidRPr="009B53EA">
        <w:t>maximizing financial returns within a defined mandate. Systems-level thinking broadens this perspective. If systemic risks undermine long-term returns, then ignoring them may conflict with fiduciary duty rather than fulfil it</w:t>
      </w:r>
      <w:r w:rsidR="00A12129">
        <w:t>.</w:t>
      </w:r>
      <w:r w:rsidR="000621B6">
        <w:rPr>
          <w:rStyle w:val="FootnoteReference"/>
        </w:rPr>
        <w:footnoteReference w:id="2"/>
      </w:r>
    </w:p>
    <w:p w14:paraId="6821729D" w14:textId="144CA514" w:rsidR="009B53EA" w:rsidRPr="00410ACF" w:rsidRDefault="009B53EA" w:rsidP="009B53EA">
      <w:r w:rsidRPr="009B53EA">
        <w:t xml:space="preserve">In this sense, systems-level investing is less about </w:t>
      </w:r>
      <w:r w:rsidR="008A6015">
        <w:t>‘</w:t>
      </w:r>
      <w:r w:rsidRPr="009B53EA">
        <w:t>doing good</w:t>
      </w:r>
      <w:r w:rsidR="00A12129">
        <w:t>’</w:t>
      </w:r>
      <w:r w:rsidRPr="009B53EA">
        <w:t xml:space="preserve"> and more </w:t>
      </w:r>
      <w:r w:rsidRPr="00410ACF">
        <w:t>about protecting long-term value creation.</w:t>
      </w:r>
    </w:p>
    <w:p w14:paraId="6636DA3C" w14:textId="56B39A71" w:rsidR="009B53EA" w:rsidRPr="009B53EA" w:rsidRDefault="00555587" w:rsidP="009B53EA">
      <w:pPr>
        <w:rPr>
          <w:b/>
          <w:bCs/>
        </w:rPr>
      </w:pPr>
      <w:r>
        <w:rPr>
          <w:b/>
          <w:bCs/>
        </w:rPr>
        <w:t xml:space="preserve">It is not only </w:t>
      </w:r>
      <w:r w:rsidR="005E3B6D">
        <w:rPr>
          <w:b/>
          <w:bCs/>
        </w:rPr>
        <w:t>c</w:t>
      </w:r>
      <w:r w:rsidR="009B53EA" w:rsidRPr="009B53EA">
        <w:rPr>
          <w:b/>
          <w:bCs/>
        </w:rPr>
        <w:t>limate</w:t>
      </w:r>
    </w:p>
    <w:p w14:paraId="615F0A89" w14:textId="77F84557" w:rsidR="009B53EA" w:rsidRPr="00410ACF" w:rsidRDefault="009B53EA" w:rsidP="009B53EA">
      <w:r w:rsidRPr="009B53EA">
        <w:t xml:space="preserve">The success of </w:t>
      </w:r>
      <w:hyperlink r:id="rId11" w:history="1">
        <w:r w:rsidRPr="00CC4602">
          <w:rPr>
            <w:rStyle w:val="Hyperlink"/>
          </w:rPr>
          <w:t>climate investing</w:t>
        </w:r>
      </w:hyperlink>
      <w:r w:rsidRPr="009B53EA">
        <w:t xml:space="preserve"> shows how powerful this logic can be. There is now </w:t>
      </w:r>
      <w:r w:rsidR="005E3B6D">
        <w:t xml:space="preserve">a </w:t>
      </w:r>
      <w:r w:rsidRPr="009B53EA">
        <w:t xml:space="preserve">strong consensus that </w:t>
      </w:r>
      <w:r w:rsidRPr="00410ACF">
        <w:t xml:space="preserve">the </w:t>
      </w:r>
      <w:r w:rsidR="00197320">
        <w:t xml:space="preserve">economic </w:t>
      </w:r>
      <w:r w:rsidRPr="00410ACF">
        <w:t>costs of inaction on climate change</w:t>
      </w:r>
      <w:r w:rsidR="00197320">
        <w:t xml:space="preserve"> </w:t>
      </w:r>
      <w:r w:rsidRPr="00410ACF">
        <w:t>are significantly higher than the costs of transitioning to a low-carbon economy</w:t>
      </w:r>
      <w:r w:rsidR="008A6015">
        <w:t>.</w:t>
      </w:r>
      <w:r w:rsidR="007E18BD">
        <w:rPr>
          <w:rStyle w:val="FootnoteReference"/>
        </w:rPr>
        <w:footnoteReference w:id="3"/>
      </w:r>
      <w:r w:rsidRPr="00410ACF">
        <w:t xml:space="preserve"> </w:t>
      </w:r>
    </w:p>
    <w:p w14:paraId="660ABBBC" w14:textId="20790160" w:rsidR="000B4C6C" w:rsidRDefault="009B53EA">
      <w:pPr>
        <w:rPr>
          <w:b/>
          <w:bCs/>
        </w:rPr>
      </w:pPr>
      <w:r w:rsidRPr="009B53EA">
        <w:t>This clarity has mobilized capital at scale. Climate sessions fill conference rooms. Yet</w:t>
      </w:r>
      <w:r w:rsidR="00197320">
        <w:t>,</w:t>
      </w:r>
      <w:r w:rsidRPr="009B53EA">
        <w:t xml:space="preserve"> this momentum does not extend equally to social issues.</w:t>
      </w:r>
      <w:r w:rsidR="00227C0D">
        <w:t xml:space="preserve"> </w:t>
      </w:r>
      <w:r w:rsidRPr="009B53EA">
        <w:t xml:space="preserve">While climate dominates the agenda, </w:t>
      </w:r>
      <w:r w:rsidRPr="009B53EA">
        <w:lastRenderedPageBreak/>
        <w:t>social topics</w:t>
      </w:r>
      <w:r w:rsidR="00197320">
        <w:t xml:space="preserve"> such as </w:t>
      </w:r>
      <w:r w:rsidRPr="009B53EA">
        <w:t xml:space="preserve">inequality, </w:t>
      </w:r>
      <w:r w:rsidR="000C1344">
        <w:t xml:space="preserve">human rights, </w:t>
      </w:r>
      <w:proofErr w:type="spellStart"/>
      <w:r w:rsidR="00002272">
        <w:t>labor</w:t>
      </w:r>
      <w:proofErr w:type="spellEnd"/>
      <w:r w:rsidR="00002272">
        <w:t xml:space="preserve"> rights, and </w:t>
      </w:r>
      <w:r w:rsidRPr="009B53EA">
        <w:t>access to education</w:t>
      </w:r>
      <w:r w:rsidR="00002272">
        <w:t xml:space="preserve"> and</w:t>
      </w:r>
      <w:r w:rsidRPr="009B53EA">
        <w:t xml:space="preserve"> healthcare</w:t>
      </w:r>
      <w:r w:rsidR="00002272">
        <w:t xml:space="preserve">, </w:t>
      </w:r>
      <w:r w:rsidRPr="009B53EA">
        <w:t xml:space="preserve">are often relegated to the margins, attracting far less attention in practice. </w:t>
      </w:r>
    </w:p>
    <w:p w14:paraId="7935DA32" w14:textId="30B1168A" w:rsidR="009B53EA" w:rsidRPr="009B53EA" w:rsidRDefault="009B53EA" w:rsidP="009B53EA">
      <w:pPr>
        <w:rPr>
          <w:b/>
          <w:bCs/>
        </w:rPr>
      </w:pPr>
      <w:r w:rsidRPr="009B53EA">
        <w:rPr>
          <w:b/>
          <w:bCs/>
        </w:rPr>
        <w:t xml:space="preserve">The blind spot: </w:t>
      </w:r>
      <w:r w:rsidR="008A6015">
        <w:rPr>
          <w:b/>
          <w:bCs/>
        </w:rPr>
        <w:t>S</w:t>
      </w:r>
      <w:r w:rsidRPr="009B53EA">
        <w:rPr>
          <w:b/>
          <w:bCs/>
        </w:rPr>
        <w:t>ocial systems matter too</w:t>
      </w:r>
    </w:p>
    <w:p w14:paraId="5EC9B643" w14:textId="14AD900D" w:rsidR="00993655" w:rsidRDefault="009B53EA" w:rsidP="009B53EA">
      <w:r w:rsidRPr="009B53EA">
        <w:t>This imbalance is striking, given the evidence.</w:t>
      </w:r>
      <w:r w:rsidR="000B4C6C">
        <w:t xml:space="preserve"> </w:t>
      </w:r>
      <w:r w:rsidRPr="009B53EA">
        <w:t xml:space="preserve">A large body of empirical research shows </w:t>
      </w:r>
      <w:r w:rsidRPr="00410ACF">
        <w:t xml:space="preserve">that high inequality reduces long-term economic growth by weakening institutions, constraining human capital, and increasing instability. </w:t>
      </w:r>
      <w:r w:rsidR="00993655">
        <w:t xml:space="preserve">For </w:t>
      </w:r>
      <w:r w:rsidR="00A54D9E">
        <w:t>example</w:t>
      </w:r>
      <w:r w:rsidR="007C71F7">
        <w:t>,</w:t>
      </w:r>
      <w:r w:rsidR="00A54D9E">
        <w:t xml:space="preserve"> it is estimated that </w:t>
      </w:r>
      <w:r w:rsidR="00993655">
        <w:t>r</w:t>
      </w:r>
      <w:r w:rsidR="00993655" w:rsidRPr="00993655">
        <w:t>ising inequality reduced cumulative GDP growth by</w:t>
      </w:r>
      <w:r w:rsidR="00A54D9E">
        <w:t xml:space="preserve"> </w:t>
      </w:r>
      <w:r w:rsidR="00993655" w:rsidRPr="00993655">
        <w:t>4</w:t>
      </w:r>
      <w:r w:rsidR="00A04023">
        <w:t>.</w:t>
      </w:r>
      <w:r w:rsidR="005D0146">
        <w:t>7</w:t>
      </w:r>
      <w:r w:rsidR="00993655" w:rsidRPr="00993655">
        <w:t xml:space="preserve"> percentage points over 20 years in OECD countries</w:t>
      </w:r>
      <w:r w:rsidR="00C079DA">
        <w:t>.</w:t>
      </w:r>
      <w:r w:rsidR="008A27A2">
        <w:rPr>
          <w:rStyle w:val="FootnoteReference"/>
        </w:rPr>
        <w:footnoteReference w:id="4"/>
      </w:r>
      <w:r w:rsidR="00AC3FF8">
        <w:t xml:space="preserve"> Other studies show different numbers, but the conclusion is always the same</w:t>
      </w:r>
      <w:r w:rsidR="003D79AB">
        <w:t xml:space="preserve"> </w:t>
      </w:r>
      <w:r w:rsidR="00C079DA" w:rsidRPr="00C079DA">
        <w:t xml:space="preserve">– </w:t>
      </w:r>
      <w:r w:rsidR="003D79AB" w:rsidRPr="003D79AB">
        <w:t>inequality is negatively correlated with growth</w:t>
      </w:r>
      <w:r w:rsidR="003D79AB">
        <w:t>.</w:t>
      </w:r>
    </w:p>
    <w:p w14:paraId="7283F54A" w14:textId="7CD9CE0B" w:rsidR="009B53EA" w:rsidRPr="00410ACF" w:rsidRDefault="00323B65" w:rsidP="006A2DB8">
      <w:r w:rsidRPr="00410ACF">
        <w:t>C</w:t>
      </w:r>
      <w:r w:rsidR="009B53EA" w:rsidRPr="00410ACF">
        <w:t xml:space="preserve">onversely, </w:t>
      </w:r>
      <w:r w:rsidR="00196DF2">
        <w:t xml:space="preserve">studies show that </w:t>
      </w:r>
      <w:hyperlink r:id="rId12" w:history="1">
        <w:r w:rsidR="009B53EA" w:rsidRPr="00C127C3">
          <w:rPr>
            <w:rStyle w:val="Hyperlink"/>
          </w:rPr>
          <w:t xml:space="preserve">investments in education, healthcare and </w:t>
        </w:r>
        <w:r w:rsidR="00C079DA" w:rsidRPr="00C127C3">
          <w:rPr>
            <w:rStyle w:val="Hyperlink"/>
          </w:rPr>
          <w:t xml:space="preserve">strong </w:t>
        </w:r>
        <w:r w:rsidR="009B53EA" w:rsidRPr="00C127C3">
          <w:rPr>
            <w:rStyle w:val="Hyperlink"/>
          </w:rPr>
          <w:t>institution</w:t>
        </w:r>
        <w:r w:rsidR="00C079DA" w:rsidRPr="00C127C3">
          <w:rPr>
            <w:rStyle w:val="Hyperlink"/>
          </w:rPr>
          <w:t>s</w:t>
        </w:r>
      </w:hyperlink>
      <w:r w:rsidR="009B53EA" w:rsidRPr="00410ACF">
        <w:t xml:space="preserve"> can both reduce inequality and </w:t>
      </w:r>
      <w:r w:rsidR="001050BF">
        <w:t xml:space="preserve">increase productivity which </w:t>
      </w:r>
      <w:r w:rsidR="009B53EA" w:rsidRPr="00410ACF">
        <w:t>strengthen</w:t>
      </w:r>
      <w:r w:rsidR="001050BF">
        <w:t>s</w:t>
      </w:r>
      <w:r w:rsidR="009B53EA" w:rsidRPr="00410ACF">
        <w:t xml:space="preserve"> economic performance. In other words, just like climate risk, social system degradation directly affects the beta that investors depend on.</w:t>
      </w:r>
      <w:r w:rsidR="006A2DB8">
        <w:t xml:space="preserve"> </w:t>
      </w:r>
    </w:p>
    <w:p w14:paraId="4B660760" w14:textId="79360257" w:rsidR="009B53EA" w:rsidRPr="009B53EA" w:rsidRDefault="009B53EA" w:rsidP="009B53EA">
      <w:r w:rsidRPr="009B53EA">
        <w:t>So</w:t>
      </w:r>
      <w:r w:rsidR="002402C0">
        <w:t>,</w:t>
      </w:r>
      <w:r w:rsidR="00EB2D86">
        <w:t xml:space="preserve"> </w:t>
      </w:r>
      <w:r w:rsidR="00780CA9">
        <w:t xml:space="preserve">why </w:t>
      </w:r>
      <w:r w:rsidRPr="009B53EA">
        <w:t>does social investing lag so far behind</w:t>
      </w:r>
      <w:r w:rsidR="002402C0" w:rsidRPr="009B53EA">
        <w:t>, despite its financial relevance</w:t>
      </w:r>
      <w:r w:rsidRPr="009B53EA">
        <w:t>?</w:t>
      </w:r>
    </w:p>
    <w:p w14:paraId="2435D281" w14:textId="77777777" w:rsidR="009B53EA" w:rsidRPr="009B53EA" w:rsidRDefault="009B53EA" w:rsidP="009B53EA">
      <w:pPr>
        <w:rPr>
          <w:b/>
          <w:bCs/>
        </w:rPr>
      </w:pPr>
      <w:r w:rsidRPr="009B53EA">
        <w:rPr>
          <w:b/>
          <w:bCs/>
        </w:rPr>
        <w:t>From risk avoidance to value creation</w:t>
      </w:r>
    </w:p>
    <w:p w14:paraId="14A506D1" w14:textId="2804B161" w:rsidR="009B53EA" w:rsidRPr="009B53EA" w:rsidRDefault="009B53EA" w:rsidP="009B53EA">
      <w:r w:rsidRPr="009B53EA">
        <w:t>Part of the answer lies in current investment practice.</w:t>
      </w:r>
      <w:r w:rsidR="00E6769C">
        <w:t xml:space="preserve"> </w:t>
      </w:r>
      <w:r w:rsidRPr="009B53EA">
        <w:t xml:space="preserve">Today, most </w:t>
      </w:r>
      <w:r w:rsidR="00804F64">
        <w:t xml:space="preserve">investor </w:t>
      </w:r>
      <w:r w:rsidRPr="009B53EA">
        <w:t xml:space="preserve">approaches to social issues remain limited </w:t>
      </w:r>
      <w:r w:rsidRPr="00410ACF">
        <w:t>to avoiding harm</w:t>
      </w:r>
      <w:r w:rsidR="00D36EBA">
        <w:t xml:space="preserve">, often by </w:t>
      </w:r>
      <w:r w:rsidRPr="009B53EA">
        <w:t>excluding a small number of controversial companies</w:t>
      </w:r>
      <w:r w:rsidR="00D36EBA">
        <w:t>,</w:t>
      </w:r>
      <w:r w:rsidRPr="009B53EA">
        <w:t xml:space="preserve"> or </w:t>
      </w:r>
      <w:r w:rsidR="00D36EBA">
        <w:t xml:space="preserve">through </w:t>
      </w:r>
      <w:r w:rsidRPr="009B53EA">
        <w:t xml:space="preserve">managing reputational risks. </w:t>
      </w:r>
    </w:p>
    <w:p w14:paraId="0870213D" w14:textId="57158DC2" w:rsidR="009B53EA" w:rsidRPr="009B53EA" w:rsidRDefault="009B53EA" w:rsidP="009B53EA">
      <w:r w:rsidRPr="009B53EA">
        <w:t>This is fundamentally different from climate, where investors actively allocate capital to transition solutions, infrastructure and innovation.</w:t>
      </w:r>
      <w:r w:rsidR="00D76725">
        <w:t xml:space="preserve"> If studies are correct, then s</w:t>
      </w:r>
      <w:r w:rsidRPr="009B53EA">
        <w:t xml:space="preserve">ystems-level investing </w:t>
      </w:r>
      <w:r w:rsidR="00D76725">
        <w:t xml:space="preserve">should also </w:t>
      </w:r>
      <w:r w:rsidRPr="009B53EA">
        <w:t>call for a similar shift in mindset for social issues</w:t>
      </w:r>
      <w:r w:rsidR="00F62ED2">
        <w:t>, moving</w:t>
      </w:r>
      <w:r w:rsidRPr="009B53EA">
        <w:t>:</w:t>
      </w:r>
    </w:p>
    <w:p w14:paraId="50B7DFF3" w14:textId="6F81FE94" w:rsidR="009B53EA" w:rsidRPr="00410ACF" w:rsidRDefault="009B53EA" w:rsidP="009B53EA">
      <w:pPr>
        <w:numPr>
          <w:ilvl w:val="0"/>
          <w:numId w:val="1"/>
        </w:numPr>
      </w:pPr>
      <w:r w:rsidRPr="009B53EA">
        <w:t xml:space="preserve">From </w:t>
      </w:r>
      <w:hyperlink r:id="rId13" w:history="1">
        <w:r w:rsidRPr="00F62426">
          <w:rPr>
            <w:rStyle w:val="Hyperlink"/>
          </w:rPr>
          <w:t>exclusion</w:t>
        </w:r>
      </w:hyperlink>
      <w:r w:rsidRPr="009B53EA">
        <w:t xml:space="preserve"> </w:t>
      </w:r>
      <w:r w:rsidRPr="00410ACF">
        <w:t>to systemic impact</w:t>
      </w:r>
    </w:p>
    <w:p w14:paraId="39174F5C" w14:textId="215A9EEE" w:rsidR="009B53EA" w:rsidRPr="00410ACF" w:rsidRDefault="009B53EA" w:rsidP="009B53EA">
      <w:pPr>
        <w:numPr>
          <w:ilvl w:val="0"/>
          <w:numId w:val="1"/>
        </w:numPr>
      </w:pPr>
      <w:r w:rsidRPr="009B53EA">
        <w:t xml:space="preserve">From risk mitigation to </w:t>
      </w:r>
      <w:r w:rsidRPr="00410ACF">
        <w:t>opportunity identification</w:t>
      </w:r>
    </w:p>
    <w:p w14:paraId="4E4C4D58" w14:textId="2C8FD89C" w:rsidR="009B53EA" w:rsidRPr="00410ACF" w:rsidRDefault="009B53EA" w:rsidP="009B53EA">
      <w:pPr>
        <w:numPr>
          <w:ilvl w:val="0"/>
          <w:numId w:val="1"/>
        </w:numPr>
      </w:pPr>
      <w:r w:rsidRPr="009B53EA">
        <w:t xml:space="preserve">From isolated company </w:t>
      </w:r>
      <w:r w:rsidRPr="00410ACF">
        <w:t>analysis to system-wide outcomes</w:t>
      </w:r>
    </w:p>
    <w:p w14:paraId="13B5857E" w14:textId="6C6707C1" w:rsidR="009B53EA" w:rsidRPr="009B53EA" w:rsidRDefault="009B53EA" w:rsidP="009B53EA">
      <w:r w:rsidRPr="009B53EA">
        <w:t xml:space="preserve">Emerging efforts, </w:t>
      </w:r>
      <w:r w:rsidR="00D70F6C">
        <w:t>including</w:t>
      </w:r>
      <w:r w:rsidRPr="009B53EA">
        <w:t xml:space="preserve"> the development of better standards and frameworks </w:t>
      </w:r>
      <w:r w:rsidR="00F62ED2">
        <w:t>such as the</w:t>
      </w:r>
      <w:r w:rsidR="00D3038E">
        <w:t xml:space="preserve"> </w:t>
      </w:r>
      <w:r w:rsidR="00D3038E" w:rsidRPr="00D3038E">
        <w:t>Taskforce on Inequality and Social-related Financial Disclosures</w:t>
      </w:r>
      <w:r w:rsidRPr="009B53EA">
        <w:t xml:space="preserve"> </w:t>
      </w:r>
      <w:r w:rsidR="00D3038E">
        <w:t>(</w:t>
      </w:r>
      <w:r w:rsidRPr="009B53EA">
        <w:t xml:space="preserve">TISFD), reflect this transition. They aim to move beyond measuring </w:t>
      </w:r>
      <w:r w:rsidR="005C3E8B">
        <w:t xml:space="preserve">simple output and outcome metrics </w:t>
      </w:r>
      <w:r w:rsidRPr="009B53EA">
        <w:t>toward understanding how companies contribute to</w:t>
      </w:r>
      <w:r w:rsidR="00D3038E">
        <w:t xml:space="preserve">, </w:t>
      </w:r>
      <w:r w:rsidRPr="009B53EA">
        <w:t>or undermine</w:t>
      </w:r>
      <w:r w:rsidR="00D3038E">
        <w:t xml:space="preserve">, </w:t>
      </w:r>
      <w:r w:rsidRPr="009B53EA">
        <w:t>social systems</w:t>
      </w:r>
      <w:r w:rsidR="00D3038E">
        <w:t>,</w:t>
      </w:r>
      <w:r w:rsidR="00755530">
        <w:t xml:space="preserve"> and what the financial impacts could be</w:t>
      </w:r>
      <w:r w:rsidRPr="009B53EA">
        <w:t>.</w:t>
      </w:r>
    </w:p>
    <w:p w14:paraId="4D088C0D" w14:textId="1F2719C7" w:rsidR="009B53EA" w:rsidRPr="005E5328" w:rsidRDefault="009B53EA" w:rsidP="009B53EA">
      <w:pPr>
        <w:rPr>
          <w:b/>
          <w:bCs/>
        </w:rPr>
      </w:pPr>
      <w:r w:rsidRPr="005E5328">
        <w:rPr>
          <w:b/>
          <w:bCs/>
        </w:rPr>
        <w:t>Old wine</w:t>
      </w:r>
      <w:r w:rsidR="006A6E8D">
        <w:rPr>
          <w:b/>
          <w:bCs/>
        </w:rPr>
        <w:t xml:space="preserve"> </w:t>
      </w:r>
      <w:r w:rsidRPr="005E5328">
        <w:rPr>
          <w:b/>
          <w:bCs/>
        </w:rPr>
        <w:t>or a necessary evolution?</w:t>
      </w:r>
    </w:p>
    <w:p w14:paraId="63912ED1" w14:textId="752E49AF" w:rsidR="009B53EA" w:rsidRPr="005E5328" w:rsidRDefault="009B53EA" w:rsidP="009B53EA">
      <w:r w:rsidRPr="005E5328">
        <w:t>Critics argue that systems-level investing is not fundamentally new. It echoes earlier concepts such as universal ownership and sustainable development investing. And in a sense, they are right. The underlying logic has been known for decades.</w:t>
      </w:r>
    </w:p>
    <w:p w14:paraId="644CD35D" w14:textId="0ECE57F1" w:rsidR="005C3E8B" w:rsidRDefault="009B53EA">
      <w:pPr>
        <w:rPr>
          <w:b/>
          <w:bCs/>
        </w:rPr>
      </w:pPr>
      <w:r w:rsidRPr="005E5328">
        <w:t>What is new, however, is the urgency</w:t>
      </w:r>
      <w:r w:rsidR="006A6E8D">
        <w:t xml:space="preserve"> </w:t>
      </w:r>
      <w:r w:rsidRPr="005E5328">
        <w:t>and the evidence.</w:t>
      </w:r>
      <w:r w:rsidR="00555587" w:rsidRPr="005E5328">
        <w:t xml:space="preserve"> </w:t>
      </w:r>
      <w:r w:rsidRPr="005E5328">
        <w:t>We now better understand how environmental and social systems translate into financial outcomes. We have stronger data, clearer frameworks, and growing regulatory momentum.</w:t>
      </w:r>
      <w:r w:rsidR="00555587" w:rsidRPr="005E5328">
        <w:t xml:space="preserve"> </w:t>
      </w:r>
    </w:p>
    <w:p w14:paraId="16556188" w14:textId="4C265FFA" w:rsidR="00410ACF" w:rsidRPr="009B53EA" w:rsidRDefault="007160BB" w:rsidP="00410ACF">
      <w:pPr>
        <w:rPr>
          <w:b/>
          <w:bCs/>
        </w:rPr>
      </w:pPr>
      <w:r>
        <w:rPr>
          <w:b/>
          <w:bCs/>
        </w:rPr>
        <w:lastRenderedPageBreak/>
        <w:t>T</w:t>
      </w:r>
      <w:r w:rsidR="00410ACF">
        <w:rPr>
          <w:b/>
          <w:bCs/>
        </w:rPr>
        <w:t xml:space="preserve">he challenges </w:t>
      </w:r>
      <w:r>
        <w:rPr>
          <w:b/>
          <w:bCs/>
        </w:rPr>
        <w:t>to</w:t>
      </w:r>
      <w:r w:rsidR="00410ACF">
        <w:rPr>
          <w:b/>
          <w:bCs/>
        </w:rPr>
        <w:t xml:space="preserve"> system</w:t>
      </w:r>
      <w:r w:rsidR="006E595E">
        <w:rPr>
          <w:b/>
          <w:bCs/>
        </w:rPr>
        <w:t>s</w:t>
      </w:r>
      <w:r w:rsidR="00410ACF">
        <w:rPr>
          <w:b/>
          <w:bCs/>
        </w:rPr>
        <w:t xml:space="preserve">-level investing </w:t>
      </w:r>
    </w:p>
    <w:p w14:paraId="0C21AD9B" w14:textId="2E805222" w:rsidR="00F16D83" w:rsidRDefault="00410ACF" w:rsidP="00410ACF">
      <w:r w:rsidRPr="009B53EA">
        <w:t>Despite its strong theoretical foundation, systems-level investing faces practical barriers.</w:t>
      </w:r>
      <w:r w:rsidR="00D756B5">
        <w:t xml:space="preserve"> </w:t>
      </w:r>
      <w:r w:rsidR="00BC63B9">
        <w:t>Firstly, e</w:t>
      </w:r>
      <w:r w:rsidRPr="00D756B5">
        <w:t xml:space="preserve">ven though there is a large body of evidence </w:t>
      </w:r>
      <w:r w:rsidR="007160BB">
        <w:t>that</w:t>
      </w:r>
      <w:r w:rsidRPr="00D756B5">
        <w:t xml:space="preserve"> climate and social investments </w:t>
      </w:r>
      <w:r w:rsidR="007160BB">
        <w:t>improve</w:t>
      </w:r>
      <w:r w:rsidRPr="00D756B5">
        <w:t xml:space="preserve"> economi</w:t>
      </w:r>
      <w:r w:rsidR="007160BB">
        <w:t>c</w:t>
      </w:r>
      <w:r w:rsidRPr="00D756B5">
        <w:t xml:space="preserve"> resilience, </w:t>
      </w:r>
      <w:r w:rsidR="00D756B5">
        <w:t xml:space="preserve">transition </w:t>
      </w:r>
      <w:r w:rsidRPr="00D756B5">
        <w:t>investments are internal</w:t>
      </w:r>
      <w:r w:rsidR="0040152D">
        <w:t xml:space="preserve"> costs</w:t>
      </w:r>
      <w:r w:rsidRPr="00D756B5">
        <w:t xml:space="preserve"> for companies</w:t>
      </w:r>
      <w:r w:rsidR="001B0E5A">
        <w:t>,</w:t>
      </w:r>
      <w:r w:rsidRPr="00D756B5">
        <w:t xml:space="preserve"> and the </w:t>
      </w:r>
      <w:r w:rsidR="0040152D">
        <w:t xml:space="preserve">economic and social </w:t>
      </w:r>
      <w:r w:rsidRPr="00D756B5">
        <w:t>costs are born</w:t>
      </w:r>
      <w:r w:rsidR="00C44BED">
        <w:t>e</w:t>
      </w:r>
      <w:r w:rsidRPr="00D756B5">
        <w:t xml:space="preserve"> by society</w:t>
      </w:r>
      <w:r w:rsidR="0040152D">
        <w:t xml:space="preserve">. This does </w:t>
      </w:r>
      <w:r w:rsidRPr="00D756B5">
        <w:t>not give an</w:t>
      </w:r>
      <w:r w:rsidR="004A09CC">
        <w:t xml:space="preserve"> immediate</w:t>
      </w:r>
      <w:r w:rsidRPr="00D756B5">
        <w:t xml:space="preserve"> incentive </w:t>
      </w:r>
      <w:r w:rsidR="00C44BED">
        <w:t>for</w:t>
      </w:r>
      <w:r w:rsidRPr="00D756B5">
        <w:t xml:space="preserve"> companies </w:t>
      </w:r>
      <w:r w:rsidR="00EB2D86">
        <w:t xml:space="preserve">and investors </w:t>
      </w:r>
      <w:r w:rsidRPr="00D756B5">
        <w:t>to change.</w:t>
      </w:r>
      <w:r w:rsidR="0040152D">
        <w:t xml:space="preserve"> </w:t>
      </w:r>
      <w:r w:rsidR="00694F33">
        <w:t xml:space="preserve">This is also </w:t>
      </w:r>
      <w:proofErr w:type="gramStart"/>
      <w:r w:rsidR="00694F33">
        <w:t>due to the fact that</w:t>
      </w:r>
      <w:proofErr w:type="gramEnd"/>
      <w:r w:rsidRPr="00D756B5">
        <w:t xml:space="preserve"> investment horizons</w:t>
      </w:r>
      <w:r w:rsidR="00C42F8C">
        <w:t xml:space="preserve"> are not aligned</w:t>
      </w:r>
      <w:r w:rsidR="00C44BED">
        <w:t>,</w:t>
      </w:r>
      <w:r w:rsidR="00C42F8C">
        <w:t xml:space="preserve"> as the</w:t>
      </w:r>
      <w:r w:rsidRPr="00D756B5">
        <w:t xml:space="preserve"> benefits often materialize over longer periods than typical performance cycles.</w:t>
      </w:r>
      <w:r w:rsidR="00C42F8C">
        <w:t xml:space="preserve"> </w:t>
      </w:r>
    </w:p>
    <w:p w14:paraId="64DFCC07" w14:textId="5FAD21D1" w:rsidR="00410ACF" w:rsidRPr="005E5328" w:rsidRDefault="00694F33" w:rsidP="00410ACF">
      <w:r>
        <w:t>Secondly</w:t>
      </w:r>
      <w:r w:rsidR="00410ACF" w:rsidRPr="00D756B5">
        <w:t>, systemic change requires coordination across investors, regulators, and companies.</w:t>
      </w:r>
      <w:r w:rsidR="00767BC5">
        <w:t xml:space="preserve"> Investors alone cannot solve these issues</w:t>
      </w:r>
      <w:r w:rsidR="00CE1272">
        <w:t xml:space="preserve">, which is </w:t>
      </w:r>
      <w:r w:rsidR="00767BC5">
        <w:t xml:space="preserve">why </w:t>
      </w:r>
      <w:r w:rsidR="00CE1272">
        <w:t xml:space="preserve">they </w:t>
      </w:r>
      <w:r w:rsidR="00767BC5">
        <w:t>are increasingly engaging with governments and policymakers.</w:t>
      </w:r>
      <w:r>
        <w:t xml:space="preserve"> And this is where the most </w:t>
      </w:r>
      <w:r w:rsidR="00410ACF" w:rsidRPr="005E5328">
        <w:t>important barrier</w:t>
      </w:r>
      <w:r>
        <w:t xml:space="preserve"> lies</w:t>
      </w:r>
      <w:r w:rsidR="000B5FFE">
        <w:t>. It</w:t>
      </w:r>
      <w:r w:rsidR="00410ACF" w:rsidRPr="005E5328">
        <w:t xml:space="preserve"> is cultural. Investors are accustomed to competing for </w:t>
      </w:r>
      <w:proofErr w:type="gramStart"/>
      <w:r w:rsidR="00410ACF" w:rsidRPr="005E5328">
        <w:t>alpha</w:t>
      </w:r>
      <w:r w:rsidR="00C44BED">
        <w:t>, and</w:t>
      </w:r>
      <w:proofErr w:type="gramEnd"/>
      <w:r w:rsidR="00C44BED">
        <w:t xml:space="preserve"> </w:t>
      </w:r>
      <w:r w:rsidR="00410ACF" w:rsidRPr="005E5328">
        <w:t xml:space="preserve">not </w:t>
      </w:r>
      <w:r w:rsidR="00CE1272">
        <w:t xml:space="preserve">used to </w:t>
      </w:r>
      <w:r w:rsidR="00410ACF" w:rsidRPr="005E5328">
        <w:t>collaborating to improve beta.</w:t>
      </w:r>
    </w:p>
    <w:p w14:paraId="571FF680" w14:textId="72FE9F1A" w:rsidR="009B53EA" w:rsidRPr="005E5328" w:rsidRDefault="009B53EA" w:rsidP="009B53EA">
      <w:pPr>
        <w:rPr>
          <w:b/>
          <w:bCs/>
        </w:rPr>
      </w:pPr>
      <w:r w:rsidRPr="005E5328">
        <w:rPr>
          <w:b/>
          <w:bCs/>
        </w:rPr>
        <w:t xml:space="preserve">Conclusion: </w:t>
      </w:r>
      <w:r w:rsidR="00CE1272">
        <w:rPr>
          <w:b/>
          <w:bCs/>
        </w:rPr>
        <w:t>F</w:t>
      </w:r>
      <w:r w:rsidRPr="005E5328">
        <w:rPr>
          <w:b/>
          <w:bCs/>
        </w:rPr>
        <w:t>rom concept to conviction</w:t>
      </w:r>
    </w:p>
    <w:p w14:paraId="405B3805" w14:textId="35B64FB1" w:rsidR="009B53EA" w:rsidRPr="0077196A" w:rsidRDefault="009B53EA" w:rsidP="009B53EA">
      <w:r w:rsidRPr="005E5328">
        <w:t>Systems-level investing may not be entirely new</w:t>
      </w:r>
      <w:r w:rsidR="00C44BED">
        <w:t xml:space="preserve">, </w:t>
      </w:r>
      <w:r w:rsidRPr="005E5328">
        <w:t>but it is increasingly unavoidable.</w:t>
      </w:r>
      <w:r w:rsidR="005E5328">
        <w:t xml:space="preserve"> </w:t>
      </w:r>
      <w:r w:rsidRPr="005E5328">
        <w:t xml:space="preserve">For </w:t>
      </w:r>
      <w:r w:rsidR="00CE1272">
        <w:t xml:space="preserve">the </w:t>
      </w:r>
      <w:r w:rsidRPr="005E5328">
        <w:t xml:space="preserve">climate, the case is already clear: investing in </w:t>
      </w:r>
      <w:hyperlink r:id="rId14" w:history="1">
        <w:r w:rsidRPr="00ED6BAF">
          <w:rPr>
            <w:rStyle w:val="Hyperlink"/>
          </w:rPr>
          <w:t>transition</w:t>
        </w:r>
      </w:hyperlink>
      <w:r w:rsidRPr="005E5328">
        <w:t xml:space="preserve"> is cheaper than paying for the consequences of inaction.</w:t>
      </w:r>
      <w:r w:rsidR="004959DF">
        <w:t xml:space="preserve"> </w:t>
      </w:r>
      <w:r w:rsidRPr="005E5328">
        <w:t xml:space="preserve">For social issues, the evidence points in the same direction: </w:t>
      </w:r>
      <w:r w:rsidRPr="0077196A">
        <w:t>stronger social systems underpin stronger economies</w:t>
      </w:r>
      <w:r w:rsidR="0077196A">
        <w:t xml:space="preserve"> </w:t>
      </w:r>
      <w:r w:rsidRPr="0077196A">
        <w:t xml:space="preserve">and </w:t>
      </w:r>
      <w:r w:rsidR="0077196A">
        <w:t>are a prerequis</w:t>
      </w:r>
      <w:r w:rsidR="007F1EDF">
        <w:t>ite for sustaining long term</w:t>
      </w:r>
      <w:r w:rsidRPr="0077196A">
        <w:t xml:space="preserve"> returns.</w:t>
      </w:r>
    </w:p>
    <w:p w14:paraId="1D1C8A93" w14:textId="66E403CF" w:rsidR="009B53EA" w:rsidRPr="007F1EDF" w:rsidRDefault="009B53EA" w:rsidP="009B53EA">
      <w:r w:rsidRPr="005E5328">
        <w:t>The real question is not whether systems-level investing can solve social issues</w:t>
      </w:r>
      <w:r w:rsidR="00CE1272">
        <w:t xml:space="preserve">, but </w:t>
      </w:r>
      <w:r w:rsidRPr="005E5328">
        <w:t xml:space="preserve">whether </w:t>
      </w:r>
      <w:r w:rsidRPr="007F1EDF">
        <w:t>investors are ready to recognize that their portfolios already depend on solving them.</w:t>
      </w:r>
    </w:p>
    <w:p w14:paraId="77135678" w14:textId="77777777" w:rsidR="00077820" w:rsidRDefault="00B82D27" w:rsidP="00077820">
      <w:pPr>
        <w:pStyle w:val="DisclaimerHeading"/>
      </w:pPr>
      <w:r>
        <w:br w:type="page"/>
      </w:r>
    </w:p>
    <w:sdt>
      <w:sdtPr>
        <w:rPr>
          <w:rFonts w:asciiTheme="minorHAnsi" w:hAnsiTheme="minorHAnsi"/>
          <w:sz w:val="20"/>
          <w:szCs w:val="20"/>
        </w:rPr>
        <w:alias w:val="Non-fund"/>
        <w:tag w:val="Non-fund"/>
        <w:id w:val="-825811433"/>
        <w:placeholder>
          <w:docPart w:val="ED132F4145014A1BBABF0D8696275FB8"/>
        </w:placeholder>
      </w:sdtPr>
      <w:sdtContent>
        <w:p w14:paraId="79A07D4D" w14:textId="75F29A38" w:rsidR="00077820" w:rsidRDefault="00077820" w:rsidP="00077820">
          <w:pPr>
            <w:pStyle w:val="DisclaimerHeading"/>
            <w:rPr>
              <w:rFonts w:asciiTheme="minorHAnsi" w:hAnsiTheme="minorHAnsi"/>
              <w:sz w:val="20"/>
              <w:szCs w:val="20"/>
              <w:lang w:val="en-GB"/>
            </w:rPr>
          </w:pPr>
          <w:r w:rsidRPr="00123E37">
            <w:rPr>
              <w:rFonts w:asciiTheme="minorHAnsi" w:hAnsiTheme="minorHAnsi"/>
              <w:b/>
              <w:sz w:val="20"/>
              <w:szCs w:val="20"/>
              <w:lang w:val="en-GB"/>
            </w:rPr>
            <w:t>Important information </w:t>
          </w:r>
          <w:r w:rsidRPr="00123E37">
            <w:rPr>
              <w:rFonts w:asciiTheme="minorHAnsi" w:hAnsiTheme="minorHAnsi"/>
              <w:sz w:val="20"/>
              <w:szCs w:val="20"/>
              <w:lang w:val="en-GB"/>
            </w:rPr>
            <w:t>–</w:t>
          </w:r>
          <w:r w:rsidRPr="00123E37">
            <w:rPr>
              <w:rFonts w:asciiTheme="minorHAnsi" w:hAnsiTheme="minorHAnsi"/>
              <w:b/>
              <w:sz w:val="20"/>
              <w:szCs w:val="20"/>
              <w:lang w:val="en-GB"/>
            </w:rPr>
            <w:t> Capital at risk</w:t>
          </w:r>
          <w:r w:rsidRPr="00123E37">
            <w:rPr>
              <w:rFonts w:asciiTheme="minorHAnsi" w:hAnsiTheme="minorHAnsi"/>
              <w:sz w:val="20"/>
              <w:szCs w:val="20"/>
              <w:lang w:val="en-GB"/>
            </w:rPr>
            <w:t> </w:t>
          </w:r>
        </w:p>
        <w:p w14:paraId="1CF3FF04" w14:textId="77777777" w:rsidR="00077820" w:rsidRPr="00123E37" w:rsidRDefault="00077820" w:rsidP="00077820">
          <w:pPr>
            <w:pStyle w:val="DisclaimerHeading"/>
            <w:rPr>
              <w:rFonts w:asciiTheme="minorHAnsi" w:hAnsiTheme="minorHAnsi"/>
              <w:sz w:val="20"/>
              <w:szCs w:val="20"/>
            </w:rPr>
          </w:pPr>
          <w:r w:rsidRPr="00123E37">
            <w:rPr>
              <w:rFonts w:asciiTheme="minorHAnsi" w:hAnsiTheme="minorHAnsi"/>
              <w:sz w:val="20"/>
              <w:szCs w:val="20"/>
            </w:rPr>
            <w:t xml:space="preserve">This information refers only to general information about Robeco Holding B.V. and/or its related, affiliated and subsidiary companies (“Robeco”), Robeco's approach, strategies and capabilities. This is a marketing communication solely intended for professional investors, defined as investors qualifying as professional clients, who have requested to be treated as professional clients or who are authorized to receive such information under any applicable laws. Unless otherwise stated, the data and information reported is sourced from Robeco, is, to the best knowledge of Robeco, accurate at the time of publication and comes without any warranties of any kind. Any opinion expressed is solely Robeco’s opinion, it is not a factual statement, and is subject to change, and in no way constitutes investment advice. This document is intended only to provide an overview of Robeco's approach and strategies. It is not a substitute for a prospectus or any other legal document concerning any specific financial instrument. The data, information, and opinions contained herein do not constitute and, under no circumstances, may be construed as an offer or an invitation or a recommendation to make investments or divestments or a solicitation to buy, sell, hold or subscribe for financial instruments or as financial, legal, tax, or investment research advice or as an invitation or to make any other use of it. All rights relating to the information in this document are and will remain the property of Robeco. This document may not be copied or used with the public. No part of this document may be reproduced or published in any form or by any means without Robeco's prior written permission. Robeco Institutional Asset Management B.V. has a license as manager of UCITS and AIFs of the Netherlands Authority for the Financial Markets in Amsterdam. </w:t>
          </w:r>
        </w:p>
        <w:p w14:paraId="578B02A9" w14:textId="77777777" w:rsidR="00077820" w:rsidRPr="00123E37" w:rsidRDefault="00077820" w:rsidP="00077820">
          <w:pPr>
            <w:pStyle w:val="DisclaimerHeading"/>
            <w:rPr>
              <w:rFonts w:asciiTheme="minorHAnsi" w:hAnsiTheme="minorHAnsi"/>
              <w:sz w:val="20"/>
              <w:szCs w:val="20"/>
            </w:rPr>
          </w:pPr>
        </w:p>
        <w:p w14:paraId="0AF1EECE" w14:textId="77777777" w:rsidR="00077820" w:rsidRPr="00123E37" w:rsidRDefault="00077820" w:rsidP="00077820">
          <w:pPr>
            <w:pStyle w:val="DisclaimerHeading"/>
            <w:rPr>
              <w:rFonts w:asciiTheme="minorHAnsi" w:hAnsiTheme="minorHAnsi"/>
              <w:sz w:val="20"/>
              <w:szCs w:val="20"/>
            </w:rPr>
          </w:pPr>
          <w:r w:rsidRPr="00123E37">
            <w:rPr>
              <w:rFonts w:asciiTheme="minorHAnsi" w:hAnsiTheme="minorHAnsi"/>
              <w:sz w:val="20"/>
              <w:szCs w:val="20"/>
            </w:rPr>
            <w:t xml:space="preserve">Parts of the marketing material may involve the use of AI-assisted tools to support the creation and review of marketing materials. These tools are designed to help ensure greater consistency and efficiency. All outcomes are reviewed by human evaluators. </w:t>
          </w:r>
        </w:p>
        <w:p w14:paraId="7E630D67" w14:textId="77777777" w:rsidR="00077820" w:rsidRPr="00123E37" w:rsidRDefault="00077820" w:rsidP="00077820">
          <w:pPr>
            <w:pStyle w:val="DisclaimerHeading"/>
            <w:rPr>
              <w:rFonts w:asciiTheme="minorHAnsi" w:hAnsiTheme="minorHAnsi"/>
              <w:sz w:val="20"/>
              <w:szCs w:val="20"/>
            </w:rPr>
          </w:pPr>
        </w:p>
        <w:p w14:paraId="39062DF1" w14:textId="77777777" w:rsidR="00077820" w:rsidRPr="00123E37" w:rsidRDefault="00077820" w:rsidP="00077820">
          <w:pPr>
            <w:pStyle w:val="DisclaimerHeading"/>
            <w:rPr>
              <w:rFonts w:asciiTheme="minorHAnsi" w:hAnsiTheme="minorHAnsi"/>
              <w:b/>
              <w:bCs w:val="0"/>
              <w:sz w:val="20"/>
              <w:szCs w:val="20"/>
            </w:rPr>
          </w:pPr>
          <w:r w:rsidRPr="00123E37">
            <w:rPr>
              <w:rFonts w:asciiTheme="minorHAnsi" w:hAnsiTheme="minorHAnsi"/>
              <w:b/>
              <w:bCs w:val="0"/>
              <w:sz w:val="20"/>
              <w:szCs w:val="20"/>
            </w:rPr>
            <w:t xml:space="preserve">Australia </w:t>
          </w:r>
        </w:p>
        <w:p w14:paraId="3D1D4467" w14:textId="77777777" w:rsidR="00077820" w:rsidRPr="00123E37" w:rsidRDefault="00077820" w:rsidP="00077820">
          <w:pPr>
            <w:pStyle w:val="DisclaimerHeading"/>
            <w:rPr>
              <w:rFonts w:asciiTheme="minorHAnsi" w:hAnsiTheme="minorHAnsi"/>
              <w:sz w:val="20"/>
              <w:szCs w:val="20"/>
            </w:rPr>
          </w:pPr>
          <w:r w:rsidRPr="00123E37">
            <w:rPr>
              <w:rFonts w:asciiTheme="minorHAnsi" w:hAnsiTheme="minorHAnsi"/>
              <w:sz w:val="20"/>
              <w:szCs w:val="20"/>
            </w:rPr>
            <w:t>This document is distributed in Australia by Robeco Hong Kong Limited (“RHK”) (ARBN 156 512 659). RHK is exempt from the requirement to hold an Australian financial services license under section 911A(</w:t>
          </w:r>
          <w:proofErr w:type="gramStart"/>
          <w:r w:rsidRPr="00123E37">
            <w:rPr>
              <w:rFonts w:asciiTheme="minorHAnsi" w:hAnsiTheme="minorHAnsi"/>
              <w:sz w:val="20"/>
              <w:szCs w:val="20"/>
            </w:rPr>
            <w:t>2)(</w:t>
          </w:r>
          <w:proofErr w:type="gramEnd"/>
          <w:r w:rsidRPr="00123E37">
            <w:rPr>
              <w:rFonts w:asciiTheme="minorHAnsi" w:hAnsiTheme="minorHAnsi"/>
              <w:sz w:val="20"/>
              <w:szCs w:val="20"/>
            </w:rPr>
            <w:t>ep) of the Corporations Act 2001 (</w:t>
          </w:r>
          <w:proofErr w:type="spellStart"/>
          <w:r w:rsidRPr="00123E37">
            <w:rPr>
              <w:rFonts w:asciiTheme="minorHAnsi" w:hAnsiTheme="minorHAnsi"/>
              <w:sz w:val="20"/>
              <w:szCs w:val="20"/>
            </w:rPr>
            <w:t>Cth</w:t>
          </w:r>
          <w:proofErr w:type="spellEnd"/>
          <w:r w:rsidRPr="00123E37">
            <w:rPr>
              <w:rFonts w:asciiTheme="minorHAnsi" w:hAnsiTheme="minorHAnsi"/>
              <w:sz w:val="20"/>
              <w:szCs w:val="20"/>
            </w:rPr>
            <w:t>) in respect of the financial services it provides. RHK may only provide financial services to wholesale clients under that exemption. RHK is regulated by the Securities and Futures Commission under the laws of Hong Kong, which may differ from Australian laws. This document is distributed only to “wholesale clients” within the meaning of the Corporations Act 2001 (</w:t>
          </w:r>
          <w:proofErr w:type="spellStart"/>
          <w:r w:rsidRPr="00123E37">
            <w:rPr>
              <w:rFonts w:asciiTheme="minorHAnsi" w:hAnsiTheme="minorHAnsi"/>
              <w:sz w:val="20"/>
              <w:szCs w:val="20"/>
            </w:rPr>
            <w:t>Cth</w:t>
          </w:r>
          <w:proofErr w:type="spellEnd"/>
          <w:r w:rsidRPr="00123E37">
            <w:rPr>
              <w:rFonts w:asciiTheme="minorHAnsi" w:hAnsiTheme="minorHAnsi"/>
              <w:sz w:val="20"/>
              <w:szCs w:val="20"/>
            </w:rPr>
            <w:t>). It is not</w:t>
          </w:r>
          <w:r w:rsidRPr="00123E37">
            <w:rPr>
              <w:rFonts w:ascii="Times New Roman" w:hAnsi="Times New Roman" w:cs="Times New Roman"/>
              <w:sz w:val="20"/>
              <w:szCs w:val="20"/>
            </w:rPr>
            <w:t> </w:t>
          </w:r>
          <w:r w:rsidRPr="00123E37">
            <w:rPr>
              <w:rFonts w:asciiTheme="minorHAnsi" w:hAnsiTheme="minorHAnsi"/>
              <w:sz w:val="20"/>
              <w:szCs w:val="20"/>
            </w:rPr>
            <w:t>intended</w:t>
          </w:r>
          <w:r w:rsidRPr="00123E37">
            <w:rPr>
              <w:rFonts w:ascii="Times New Roman" w:hAnsi="Times New Roman" w:cs="Times New Roman"/>
              <w:sz w:val="20"/>
              <w:szCs w:val="20"/>
            </w:rPr>
            <w:t> </w:t>
          </w:r>
          <w:r w:rsidRPr="00123E37">
            <w:rPr>
              <w:rFonts w:asciiTheme="minorHAnsi" w:hAnsiTheme="minorHAnsi"/>
              <w:sz w:val="20"/>
              <w:szCs w:val="20"/>
            </w:rPr>
            <w:t xml:space="preserve">for distribution or dissemination, directly or indirectly, to any other class of </w:t>
          </w:r>
          <w:proofErr w:type="gramStart"/>
          <w:r w:rsidRPr="00123E37">
            <w:rPr>
              <w:rFonts w:asciiTheme="minorHAnsi" w:hAnsiTheme="minorHAnsi"/>
              <w:sz w:val="20"/>
              <w:szCs w:val="20"/>
            </w:rPr>
            <w:t>persons</w:t>
          </w:r>
          <w:proofErr w:type="gramEnd"/>
          <w:r w:rsidRPr="00123E37">
            <w:rPr>
              <w:rFonts w:asciiTheme="minorHAnsi" w:hAnsiTheme="minorHAnsi"/>
              <w:sz w:val="20"/>
              <w:szCs w:val="20"/>
            </w:rPr>
            <w:t>. This document is</w:t>
          </w:r>
          <w:r w:rsidRPr="00123E37">
            <w:rPr>
              <w:rFonts w:ascii="Times New Roman" w:hAnsi="Times New Roman" w:cs="Times New Roman"/>
              <w:sz w:val="20"/>
              <w:szCs w:val="20"/>
            </w:rPr>
            <w:t> </w:t>
          </w:r>
          <w:r w:rsidRPr="00123E37">
            <w:rPr>
              <w:rFonts w:asciiTheme="minorHAnsi" w:hAnsiTheme="minorHAnsi"/>
              <w:sz w:val="20"/>
              <w:szCs w:val="20"/>
            </w:rPr>
            <w:t>not intended</w:t>
          </w:r>
          <w:r w:rsidRPr="00123E37">
            <w:rPr>
              <w:rFonts w:ascii="Times New Roman" w:hAnsi="Times New Roman" w:cs="Times New Roman"/>
              <w:sz w:val="20"/>
              <w:szCs w:val="20"/>
            </w:rPr>
            <w:t> </w:t>
          </w:r>
          <w:r w:rsidRPr="00123E37">
            <w:rPr>
              <w:rFonts w:asciiTheme="minorHAnsi" w:hAnsiTheme="minorHAnsi"/>
              <w:sz w:val="20"/>
              <w:szCs w:val="20"/>
            </w:rPr>
            <w:t xml:space="preserve">for public distribution in Australia. </w:t>
          </w:r>
        </w:p>
        <w:p w14:paraId="26D5F2B2" w14:textId="77777777" w:rsidR="00077820" w:rsidRPr="00123E37" w:rsidRDefault="00077820" w:rsidP="00077820">
          <w:pPr>
            <w:pStyle w:val="DisclaimerHeading"/>
            <w:rPr>
              <w:rFonts w:asciiTheme="minorHAnsi" w:hAnsiTheme="minorHAnsi"/>
              <w:b/>
              <w:bCs w:val="0"/>
              <w:sz w:val="20"/>
              <w:szCs w:val="20"/>
            </w:rPr>
          </w:pPr>
          <w:r w:rsidRPr="00123E37">
            <w:rPr>
              <w:rFonts w:asciiTheme="minorHAnsi" w:hAnsiTheme="minorHAnsi"/>
              <w:b/>
              <w:bCs w:val="0"/>
              <w:sz w:val="20"/>
              <w:szCs w:val="20"/>
            </w:rPr>
            <w:t xml:space="preserve">Hong Kong </w:t>
          </w:r>
        </w:p>
        <w:p w14:paraId="78CC50E1" w14:textId="77777777" w:rsidR="00077820" w:rsidRPr="00123E37" w:rsidRDefault="00077820" w:rsidP="00077820">
          <w:pPr>
            <w:pStyle w:val="DisclaimerHeading"/>
            <w:rPr>
              <w:rFonts w:asciiTheme="minorHAnsi" w:hAnsiTheme="minorHAnsi"/>
              <w:sz w:val="20"/>
              <w:szCs w:val="20"/>
            </w:rPr>
          </w:pPr>
          <w:r w:rsidRPr="00123E37">
            <w:rPr>
              <w:rFonts w:asciiTheme="minorHAnsi" w:hAnsiTheme="minorHAnsi"/>
              <w:sz w:val="20"/>
              <w:szCs w:val="20"/>
            </w:rPr>
            <w:t xml:space="preserve">This document is issued by Robeco Hong Kong Limited, which is regulated by the Hong Kong Securities and Futures Commission (“SFC”). The contents of this document have not been reviewed by the SFC. Investment involves risks. This information does not constitute an offer to sell, a solicitation of an offer to buy, or a recommendation for any security. </w:t>
          </w:r>
        </w:p>
        <w:p w14:paraId="5147CD1C" w14:textId="77777777" w:rsidR="00077820" w:rsidRPr="00123E37" w:rsidRDefault="00077820" w:rsidP="00077820">
          <w:pPr>
            <w:pStyle w:val="DisclaimerHeading"/>
            <w:rPr>
              <w:rFonts w:asciiTheme="minorHAnsi" w:hAnsiTheme="minorHAnsi"/>
              <w:b/>
              <w:bCs w:val="0"/>
              <w:sz w:val="20"/>
              <w:szCs w:val="20"/>
            </w:rPr>
          </w:pPr>
          <w:r w:rsidRPr="00123E37">
            <w:rPr>
              <w:rFonts w:asciiTheme="minorHAnsi" w:hAnsiTheme="minorHAnsi"/>
              <w:b/>
              <w:bCs w:val="0"/>
              <w:sz w:val="20"/>
              <w:szCs w:val="20"/>
            </w:rPr>
            <w:t xml:space="preserve">New Zealand </w:t>
          </w:r>
        </w:p>
        <w:p w14:paraId="4A94914C" w14:textId="77777777" w:rsidR="00077820" w:rsidRPr="00123E37" w:rsidRDefault="00077820" w:rsidP="00077820">
          <w:pPr>
            <w:pStyle w:val="DisclaimerHeading"/>
            <w:rPr>
              <w:rFonts w:asciiTheme="minorHAnsi" w:hAnsiTheme="minorHAnsi"/>
              <w:sz w:val="20"/>
              <w:szCs w:val="20"/>
            </w:rPr>
          </w:pPr>
          <w:r w:rsidRPr="00123E37">
            <w:rPr>
              <w:rFonts w:asciiTheme="minorHAnsi" w:hAnsiTheme="minorHAnsi"/>
              <w:sz w:val="20"/>
              <w:szCs w:val="20"/>
            </w:rPr>
            <w:t xml:space="preserve">In New Zealand, this document is only available to “wholesale investors” within the meaning of clause 3(2) of Schedule 1 of the Financial Markets Conduct Act 2013 (‘FMCA’). This document is issued by Robeco Hong Kong Limited which does not have a place of business in New Zealand. </w:t>
          </w:r>
        </w:p>
        <w:p w14:paraId="4097008D" w14:textId="77777777" w:rsidR="00077820" w:rsidRPr="00123E37" w:rsidRDefault="00077820" w:rsidP="00077820">
          <w:pPr>
            <w:pStyle w:val="DisclaimerHeading"/>
            <w:rPr>
              <w:rFonts w:asciiTheme="minorHAnsi" w:hAnsiTheme="minorHAnsi"/>
              <w:b/>
              <w:bCs w:val="0"/>
              <w:sz w:val="20"/>
              <w:szCs w:val="20"/>
            </w:rPr>
          </w:pPr>
          <w:r w:rsidRPr="00123E37">
            <w:rPr>
              <w:rFonts w:asciiTheme="minorHAnsi" w:hAnsiTheme="minorHAnsi"/>
              <w:b/>
              <w:bCs w:val="0"/>
              <w:sz w:val="20"/>
              <w:szCs w:val="20"/>
            </w:rPr>
            <w:t xml:space="preserve">Singapore </w:t>
          </w:r>
        </w:p>
        <w:p w14:paraId="7BFD094B" w14:textId="77777777" w:rsidR="00077820" w:rsidRPr="00123E37" w:rsidRDefault="00077820" w:rsidP="00077820">
          <w:pPr>
            <w:pStyle w:val="DisclaimerHeading"/>
            <w:rPr>
              <w:rFonts w:asciiTheme="minorHAnsi" w:hAnsiTheme="minorHAnsi"/>
              <w:sz w:val="20"/>
              <w:szCs w:val="20"/>
            </w:rPr>
          </w:pPr>
          <w:r w:rsidRPr="00123E37">
            <w:rPr>
              <w:rFonts w:asciiTheme="minorHAnsi" w:hAnsiTheme="minorHAnsi"/>
              <w:sz w:val="20"/>
              <w:szCs w:val="20"/>
            </w:rPr>
            <w:t xml:space="preserve">This information is for informational purposes only and should not be construed as an offer to sell or an invitation to buy any securities or products, nor as investment advice or recommendation. The contents of this document have not been reviewed by the Monetary Authority of Singapore (“MAS”). Robeco Singapore Private Limited holds a capital markets services </w:t>
          </w:r>
          <w:proofErr w:type="spellStart"/>
          <w:r w:rsidRPr="00123E37">
            <w:rPr>
              <w:rFonts w:asciiTheme="minorHAnsi" w:hAnsiTheme="minorHAnsi"/>
              <w:sz w:val="20"/>
              <w:szCs w:val="20"/>
            </w:rPr>
            <w:t>licence</w:t>
          </w:r>
          <w:proofErr w:type="spellEnd"/>
          <w:r w:rsidRPr="00123E37">
            <w:rPr>
              <w:rFonts w:asciiTheme="minorHAnsi" w:hAnsiTheme="minorHAnsi"/>
              <w:sz w:val="20"/>
              <w:szCs w:val="20"/>
            </w:rPr>
            <w:t xml:space="preserve"> for fund management issued by the MAS and is subject to certain clientele restrictions under such </w:t>
          </w:r>
          <w:proofErr w:type="spellStart"/>
          <w:r w:rsidRPr="00123E37">
            <w:rPr>
              <w:rFonts w:asciiTheme="minorHAnsi" w:hAnsiTheme="minorHAnsi"/>
              <w:sz w:val="20"/>
              <w:szCs w:val="20"/>
            </w:rPr>
            <w:t>licence</w:t>
          </w:r>
          <w:proofErr w:type="spellEnd"/>
          <w:r w:rsidRPr="00123E37">
            <w:rPr>
              <w:rFonts w:asciiTheme="minorHAnsi" w:hAnsiTheme="minorHAnsi"/>
              <w:sz w:val="20"/>
              <w:szCs w:val="20"/>
            </w:rPr>
            <w:t xml:space="preserve">. An investment will involve a high degree of risk, and you should consider carefully whether an investment is suitable for you. </w:t>
          </w:r>
        </w:p>
        <w:p w14:paraId="355A8DEA" w14:textId="77777777" w:rsidR="00077820" w:rsidRPr="00123E37" w:rsidRDefault="00077820" w:rsidP="00077820">
          <w:pPr>
            <w:pStyle w:val="DisclaimerHeading"/>
            <w:rPr>
              <w:rFonts w:asciiTheme="minorHAnsi" w:hAnsiTheme="minorHAnsi"/>
              <w:b/>
              <w:bCs w:val="0"/>
              <w:sz w:val="20"/>
              <w:szCs w:val="20"/>
            </w:rPr>
          </w:pPr>
          <w:r w:rsidRPr="00123E37">
            <w:rPr>
              <w:rFonts w:asciiTheme="minorHAnsi" w:hAnsiTheme="minorHAnsi"/>
              <w:b/>
              <w:bCs w:val="0"/>
              <w:sz w:val="20"/>
              <w:szCs w:val="20"/>
            </w:rPr>
            <w:t xml:space="preserve">Switzerland </w:t>
          </w:r>
        </w:p>
        <w:p w14:paraId="6E0313A9" w14:textId="77777777" w:rsidR="00077820" w:rsidRPr="00123E37" w:rsidRDefault="00077820" w:rsidP="00077820">
          <w:pPr>
            <w:pStyle w:val="DisclaimerHeading"/>
            <w:rPr>
              <w:rFonts w:asciiTheme="minorHAnsi" w:hAnsiTheme="minorHAnsi"/>
              <w:sz w:val="20"/>
              <w:szCs w:val="20"/>
            </w:rPr>
          </w:pPr>
          <w:r w:rsidRPr="00123E37">
            <w:rPr>
              <w:rFonts w:asciiTheme="minorHAnsi" w:hAnsiTheme="minorHAnsi"/>
              <w:sz w:val="20"/>
              <w:szCs w:val="20"/>
            </w:rPr>
            <w:t xml:space="preserve">Robeco Switzerland Ltd is licensed by the Swiss Financial Market Supervisory Authority FINMA as a manager of collective assets. </w:t>
          </w:r>
        </w:p>
        <w:p w14:paraId="07162971" w14:textId="77777777" w:rsidR="00077820" w:rsidRPr="00123E37" w:rsidRDefault="00077820" w:rsidP="00077820">
          <w:pPr>
            <w:pStyle w:val="DisclaimerHeading"/>
            <w:rPr>
              <w:rFonts w:asciiTheme="minorHAnsi" w:hAnsiTheme="minorHAnsi"/>
              <w:b/>
              <w:bCs w:val="0"/>
              <w:sz w:val="20"/>
              <w:szCs w:val="20"/>
            </w:rPr>
          </w:pPr>
          <w:r w:rsidRPr="00123E37">
            <w:rPr>
              <w:rFonts w:asciiTheme="minorHAnsi" w:hAnsiTheme="minorHAnsi"/>
              <w:b/>
              <w:bCs w:val="0"/>
              <w:sz w:val="20"/>
              <w:szCs w:val="20"/>
            </w:rPr>
            <w:t xml:space="preserve">United Kingdom </w:t>
          </w:r>
        </w:p>
        <w:p w14:paraId="78408F04" w14:textId="77777777" w:rsidR="00077820" w:rsidRPr="00123E37" w:rsidRDefault="00077820" w:rsidP="00077820">
          <w:pPr>
            <w:pStyle w:val="DisclaimerHeading"/>
            <w:rPr>
              <w:rFonts w:asciiTheme="minorHAnsi" w:hAnsiTheme="minorHAnsi"/>
              <w:sz w:val="20"/>
              <w:szCs w:val="20"/>
            </w:rPr>
          </w:pPr>
          <w:r w:rsidRPr="00123E37">
            <w:rPr>
              <w:rFonts w:asciiTheme="minorHAnsi" w:hAnsiTheme="minorHAnsi"/>
              <w:sz w:val="20"/>
              <w:szCs w:val="20"/>
            </w:rPr>
            <w:t xml:space="preserve">This information is provided by Robeco Institutional Asset Management UK Limited, 30 Fenchurch Street, Part Level 8, London EC3M 3BD, registered in England no.15362605. Robeco Institutional Asset </w:t>
          </w:r>
          <w:r w:rsidRPr="00123E37">
            <w:rPr>
              <w:rFonts w:asciiTheme="minorHAnsi" w:hAnsiTheme="minorHAnsi"/>
              <w:sz w:val="20"/>
              <w:szCs w:val="20"/>
            </w:rPr>
            <w:lastRenderedPageBreak/>
            <w:t xml:space="preserve">Management UK Limited is </w:t>
          </w:r>
          <w:proofErr w:type="spellStart"/>
          <w:r w:rsidRPr="00123E37">
            <w:rPr>
              <w:rFonts w:asciiTheme="minorHAnsi" w:hAnsiTheme="minorHAnsi"/>
              <w:sz w:val="20"/>
              <w:szCs w:val="20"/>
            </w:rPr>
            <w:t>authorised</w:t>
          </w:r>
          <w:proofErr w:type="spellEnd"/>
          <w:r w:rsidRPr="00123E37">
            <w:rPr>
              <w:rFonts w:asciiTheme="minorHAnsi" w:hAnsiTheme="minorHAnsi"/>
              <w:sz w:val="20"/>
              <w:szCs w:val="20"/>
            </w:rPr>
            <w:t xml:space="preserve"> and regulated by the Financial Conduct Authority (FCA – Reference No: 1007814). </w:t>
          </w:r>
        </w:p>
        <w:p w14:paraId="5FBB8AC8" w14:textId="77777777" w:rsidR="00077820" w:rsidRPr="00123E37" w:rsidRDefault="00077820" w:rsidP="00077820">
          <w:pPr>
            <w:pStyle w:val="DisclaimerHeading"/>
            <w:rPr>
              <w:rFonts w:asciiTheme="minorHAnsi" w:hAnsiTheme="minorHAnsi"/>
              <w:b/>
              <w:bCs w:val="0"/>
              <w:sz w:val="20"/>
              <w:szCs w:val="20"/>
            </w:rPr>
          </w:pPr>
          <w:r w:rsidRPr="00123E37">
            <w:rPr>
              <w:rFonts w:asciiTheme="minorHAnsi" w:hAnsiTheme="minorHAnsi"/>
              <w:b/>
              <w:bCs w:val="0"/>
              <w:sz w:val="20"/>
              <w:szCs w:val="20"/>
            </w:rPr>
            <w:t xml:space="preserve">US </w:t>
          </w:r>
        </w:p>
        <w:p w14:paraId="38C7FE16" w14:textId="77777777" w:rsidR="00077820" w:rsidRPr="00123E37" w:rsidRDefault="00077820" w:rsidP="00077820">
          <w:pPr>
            <w:pStyle w:val="DisclaimerHeading"/>
            <w:rPr>
              <w:rFonts w:asciiTheme="minorHAnsi" w:hAnsiTheme="minorHAnsi"/>
              <w:sz w:val="20"/>
              <w:szCs w:val="20"/>
            </w:rPr>
          </w:pPr>
          <w:r w:rsidRPr="00123E37">
            <w:rPr>
              <w:rFonts w:asciiTheme="minorHAnsi" w:hAnsiTheme="minorHAnsi"/>
              <w:sz w:val="20"/>
              <w:szCs w:val="20"/>
            </w:rPr>
            <w:t xml:space="preserve">This document may be distributed in the US by Robeco Institutional Asset Management US, Inc. (“Robeco US”), an investment adviser registered with the US Securities and Exchange Commission (SEC). Such registration should not be interpreted as an endorsement or approval of Robeco US by the SEC. Robeco B.V. is considered “participating affiliate” and some of their employees are “associated persons” of Robeco US as per relevant SEC no-action guidance. Employees identified as associated persons of Robeco US perform activities directly or indirectly related to the investment advisory services provided by Robeco US. In those situations, these individuals are deemed to be acting on behalf of Robeco US. SEC regulations are applicable only to clients, prospects and investors of Robeco US. Robeco US is wholly owned subsidiary of ORIX Corporation Europe N.V. (“ORIX”), a Dutch Investment Management Firm located in Rotterdam, the Netherlands. Robeco US is located at </w:t>
          </w:r>
          <w:r w:rsidRPr="00265AC9">
            <w:rPr>
              <w:rFonts w:asciiTheme="minorHAnsi" w:hAnsiTheme="minorHAnsi"/>
              <w:sz w:val="20"/>
              <w:szCs w:val="20"/>
            </w:rPr>
            <w:t>90 Park Avenue, 21st Floor, New York, NY 10016</w:t>
          </w:r>
          <w:r w:rsidRPr="00123E37">
            <w:rPr>
              <w:rFonts w:asciiTheme="minorHAnsi" w:hAnsiTheme="minorHAnsi"/>
              <w:sz w:val="20"/>
              <w:szCs w:val="20"/>
            </w:rPr>
            <w:t>.</w:t>
          </w:r>
        </w:p>
        <w:p w14:paraId="6B6B6D41" w14:textId="77777777" w:rsidR="00077820" w:rsidRPr="0082213F" w:rsidRDefault="00077820" w:rsidP="00077820">
          <w:pPr>
            <w:pStyle w:val="DisclaimerHeading"/>
            <w:rPr>
              <w:rFonts w:asciiTheme="minorHAnsi" w:hAnsiTheme="minorHAnsi"/>
              <w:sz w:val="20"/>
              <w:szCs w:val="20"/>
            </w:rPr>
          </w:pPr>
        </w:p>
        <w:p w14:paraId="134B3999" w14:textId="77777777" w:rsidR="00077820" w:rsidRPr="0082213F" w:rsidRDefault="00077820" w:rsidP="00077820">
          <w:pPr>
            <w:pStyle w:val="DisclaimerHeading"/>
            <w:rPr>
              <w:rFonts w:asciiTheme="minorHAnsi" w:hAnsiTheme="minorHAnsi"/>
              <w:sz w:val="20"/>
              <w:szCs w:val="20"/>
            </w:rPr>
          </w:pPr>
          <w:r w:rsidRPr="0082213F">
            <w:rPr>
              <w:rFonts w:asciiTheme="minorHAnsi" w:hAnsiTheme="minorHAnsi"/>
              <w:sz w:val="20"/>
              <w:szCs w:val="20"/>
            </w:rPr>
            <w:t>© Q</w:t>
          </w:r>
          <w:r>
            <w:rPr>
              <w:rFonts w:asciiTheme="minorHAnsi" w:hAnsiTheme="minorHAnsi"/>
              <w:sz w:val="20"/>
              <w:szCs w:val="20"/>
            </w:rPr>
            <w:t>2</w:t>
          </w:r>
          <w:r w:rsidRPr="0082213F">
            <w:rPr>
              <w:rFonts w:asciiTheme="minorHAnsi" w:hAnsiTheme="minorHAnsi"/>
              <w:sz w:val="20"/>
              <w:szCs w:val="20"/>
            </w:rPr>
            <w:t>/202</w:t>
          </w:r>
          <w:r>
            <w:rPr>
              <w:rFonts w:asciiTheme="minorHAnsi" w:hAnsiTheme="minorHAnsi"/>
              <w:sz w:val="20"/>
              <w:szCs w:val="20"/>
            </w:rPr>
            <w:t>6</w:t>
          </w:r>
          <w:r w:rsidRPr="0082213F">
            <w:rPr>
              <w:rFonts w:asciiTheme="minorHAnsi" w:hAnsiTheme="minorHAnsi"/>
              <w:sz w:val="20"/>
              <w:szCs w:val="20"/>
            </w:rPr>
            <w:t xml:space="preserve"> Robeco</w:t>
          </w:r>
        </w:p>
      </w:sdtContent>
    </w:sdt>
    <w:p w14:paraId="6BC7EAA5" w14:textId="47ED541C" w:rsidR="00B82D27" w:rsidRDefault="00B82D27"/>
    <w:sectPr w:rsidR="00B82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D5906" w14:textId="77777777" w:rsidR="00801243" w:rsidRDefault="00801243" w:rsidP="00F307F9">
      <w:pPr>
        <w:spacing w:after="0" w:line="240" w:lineRule="auto"/>
      </w:pPr>
      <w:r>
        <w:separator/>
      </w:r>
    </w:p>
  </w:endnote>
  <w:endnote w:type="continuationSeparator" w:id="0">
    <w:p w14:paraId="4C81A59D" w14:textId="77777777" w:rsidR="00801243" w:rsidRDefault="00801243" w:rsidP="00F30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5AF40" w14:textId="77777777" w:rsidR="00801243" w:rsidRDefault="00801243" w:rsidP="00F307F9">
      <w:pPr>
        <w:spacing w:after="0" w:line="240" w:lineRule="auto"/>
      </w:pPr>
      <w:r>
        <w:separator/>
      </w:r>
    </w:p>
  </w:footnote>
  <w:footnote w:type="continuationSeparator" w:id="0">
    <w:p w14:paraId="56FEEBD0" w14:textId="77777777" w:rsidR="00801243" w:rsidRDefault="00801243" w:rsidP="00F307F9">
      <w:pPr>
        <w:spacing w:after="0" w:line="240" w:lineRule="auto"/>
      </w:pPr>
      <w:r>
        <w:continuationSeparator/>
      </w:r>
    </w:p>
  </w:footnote>
  <w:footnote w:id="1">
    <w:p w14:paraId="5D681733" w14:textId="77777777" w:rsidR="005D4E8A" w:rsidRPr="00F307F9" w:rsidRDefault="005D4E8A" w:rsidP="005D4E8A">
      <w:pPr>
        <w:pStyle w:val="FootnoteText"/>
        <w:rPr>
          <w:lang w:val="en-US"/>
        </w:rPr>
      </w:pPr>
      <w:r>
        <w:rPr>
          <w:rStyle w:val="FootnoteReference"/>
        </w:rPr>
        <w:footnoteRef/>
      </w:r>
      <w:hyperlink r:id="rId1" w:history="1">
        <w:r w:rsidRPr="003A391C">
          <w:rPr>
            <w:rStyle w:val="Hyperlink"/>
          </w:rPr>
          <w:t>System-Level Investing - TIIP The Investment Integration Project</w:t>
        </w:r>
      </w:hyperlink>
      <w:r>
        <w:rPr>
          <w:lang w:val="en-US"/>
        </w:rPr>
        <w:t>.</w:t>
      </w:r>
    </w:p>
  </w:footnote>
  <w:footnote w:id="2">
    <w:p w14:paraId="489DCE46" w14:textId="543FAE9A" w:rsidR="000621B6" w:rsidRPr="000621B6" w:rsidRDefault="000621B6">
      <w:pPr>
        <w:pStyle w:val="FootnoteText"/>
        <w:rPr>
          <w:lang w:val="en-US"/>
        </w:rPr>
      </w:pPr>
      <w:r>
        <w:rPr>
          <w:rStyle w:val="FootnoteReference"/>
        </w:rPr>
        <w:footnoteRef/>
      </w:r>
      <w:r>
        <w:t xml:space="preserve"> </w:t>
      </w:r>
      <w:hyperlink r:id="rId2" w:history="1">
        <w:r w:rsidR="00DA7A29" w:rsidRPr="00DE7798">
          <w:rPr>
            <w:rStyle w:val="Hyperlink"/>
          </w:rPr>
          <w:t>https://www.netzerolawyers.com/publications/sustainable-fiduciary-duties---the-time-has-come-for-financial-fiduciaries-to-adapt-to-the-new-climate-reality</w:t>
        </w:r>
      </w:hyperlink>
      <w:r w:rsidR="00DA7A29">
        <w:t xml:space="preserve"> </w:t>
      </w:r>
    </w:p>
  </w:footnote>
  <w:footnote w:id="3">
    <w:p w14:paraId="64FE2A5F" w14:textId="00A4B582" w:rsidR="007E18BD" w:rsidRPr="007E18BD" w:rsidRDefault="007E18BD">
      <w:pPr>
        <w:pStyle w:val="FootnoteText"/>
        <w:rPr>
          <w:lang w:val="en-US"/>
        </w:rPr>
      </w:pPr>
      <w:r>
        <w:rPr>
          <w:rStyle w:val="FootnoteReference"/>
        </w:rPr>
        <w:footnoteRef/>
      </w:r>
      <w:r>
        <w:t xml:space="preserve"> </w:t>
      </w:r>
      <w:r>
        <w:rPr>
          <w:lang w:val="en-US"/>
        </w:rPr>
        <w:t>For example</w:t>
      </w:r>
      <w:r w:rsidR="005A4B3A">
        <w:rPr>
          <w:lang w:val="en-US"/>
        </w:rPr>
        <w:t>,</w:t>
      </w:r>
      <w:r>
        <w:rPr>
          <w:lang w:val="en-US"/>
        </w:rPr>
        <w:t xml:space="preserve"> the Stern revie</w:t>
      </w:r>
      <w:r w:rsidR="003936FA">
        <w:rPr>
          <w:lang w:val="en-US"/>
        </w:rPr>
        <w:t>w</w:t>
      </w:r>
      <w:r>
        <w:rPr>
          <w:lang w:val="en-US"/>
        </w:rPr>
        <w:t xml:space="preserve"> (2006</w:t>
      </w:r>
      <w:proofErr w:type="gramStart"/>
      <w:r>
        <w:rPr>
          <w:lang w:val="en-US"/>
        </w:rPr>
        <w:t xml:space="preserve">),  </w:t>
      </w:r>
      <w:r w:rsidR="003936FA" w:rsidRPr="003936FA">
        <w:rPr>
          <w:lang w:val="en-US"/>
        </w:rPr>
        <w:t>OECD</w:t>
      </w:r>
      <w:proofErr w:type="gramEnd"/>
      <w:r w:rsidR="003936FA" w:rsidRPr="003936FA">
        <w:rPr>
          <w:lang w:val="en-US"/>
        </w:rPr>
        <w:t xml:space="preserve"> (2015, 2021) </w:t>
      </w:r>
      <w:r w:rsidR="00FC2F52">
        <w:t xml:space="preserve">– </w:t>
      </w:r>
      <w:r w:rsidR="003936FA" w:rsidRPr="003936FA">
        <w:rPr>
          <w:lang w:val="en-US"/>
        </w:rPr>
        <w:t>Climate Change Mitigation: Policies and Progress</w:t>
      </w:r>
      <w:r w:rsidR="003936FA">
        <w:rPr>
          <w:lang w:val="en-US"/>
        </w:rPr>
        <w:t xml:space="preserve">, </w:t>
      </w:r>
      <w:hyperlink r:id="rId3" w:history="1">
        <w:r w:rsidR="00CB30CE" w:rsidRPr="00DE7798">
          <w:rPr>
            <w:rStyle w:val="Hyperlink"/>
            <w:lang w:val="en-US"/>
          </w:rPr>
          <w:t>https://web-assets.bcg.com/a1/fc/811b182f481fbe039d51776ec172/landing-the-economic-case-for-climate-action-with-decision-makers-wo-spine-mar-2025.pdf</w:t>
        </w:r>
      </w:hyperlink>
      <w:r w:rsidR="00CB30CE">
        <w:rPr>
          <w:lang w:val="en-US"/>
        </w:rPr>
        <w:t xml:space="preserve"> </w:t>
      </w:r>
    </w:p>
  </w:footnote>
  <w:footnote w:id="4">
    <w:p w14:paraId="4A4D91C0" w14:textId="6C5D09C0" w:rsidR="008A27A2" w:rsidRPr="008A27A2" w:rsidRDefault="008A27A2">
      <w:pPr>
        <w:pStyle w:val="FootnoteText"/>
        <w:rPr>
          <w:lang w:val="en-US"/>
        </w:rPr>
      </w:pPr>
      <w:r>
        <w:rPr>
          <w:rStyle w:val="FootnoteReference"/>
        </w:rPr>
        <w:footnoteRef/>
      </w:r>
      <w:r>
        <w:t xml:space="preserve"> </w:t>
      </w:r>
      <w:hyperlink r:id="rId4" w:history="1">
        <w:r w:rsidRPr="00DE7798">
          <w:rPr>
            <w:rStyle w:val="Hyperlink"/>
          </w:rPr>
          <w:t>https://www.oecd.org/en/publications/in-it-together-why-less-inequality-benefits-all_9789264235120-en.html</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1F4487"/>
    <w:multiLevelType w:val="hybridMultilevel"/>
    <w:tmpl w:val="F822D5AA"/>
    <w:lvl w:ilvl="0" w:tplc="85385BD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B35D09"/>
    <w:multiLevelType w:val="hybridMultilevel"/>
    <w:tmpl w:val="81B20404"/>
    <w:lvl w:ilvl="0" w:tplc="8A488BFA">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A192D11"/>
    <w:multiLevelType w:val="multilevel"/>
    <w:tmpl w:val="2C504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844739">
    <w:abstractNumId w:val="2"/>
  </w:num>
  <w:num w:numId="2" w16cid:durableId="1381051529">
    <w:abstractNumId w:val="0"/>
  </w:num>
  <w:num w:numId="3" w16cid:durableId="952981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EA"/>
    <w:rsid w:val="00002272"/>
    <w:rsid w:val="00011A4E"/>
    <w:rsid w:val="00020097"/>
    <w:rsid w:val="00030985"/>
    <w:rsid w:val="000621B6"/>
    <w:rsid w:val="00077820"/>
    <w:rsid w:val="000B310C"/>
    <w:rsid w:val="000B4C6C"/>
    <w:rsid w:val="000B5FFE"/>
    <w:rsid w:val="000C1344"/>
    <w:rsid w:val="00103FE9"/>
    <w:rsid w:val="001050BF"/>
    <w:rsid w:val="0010548D"/>
    <w:rsid w:val="00196DF2"/>
    <w:rsid w:val="00197320"/>
    <w:rsid w:val="001B0E5A"/>
    <w:rsid w:val="001C2208"/>
    <w:rsid w:val="001C5180"/>
    <w:rsid w:val="001D55C0"/>
    <w:rsid w:val="0022024B"/>
    <w:rsid w:val="00227C0D"/>
    <w:rsid w:val="002402C0"/>
    <w:rsid w:val="00296411"/>
    <w:rsid w:val="002A42E0"/>
    <w:rsid w:val="002F7C26"/>
    <w:rsid w:val="00323B65"/>
    <w:rsid w:val="00351503"/>
    <w:rsid w:val="003565BF"/>
    <w:rsid w:val="00365D94"/>
    <w:rsid w:val="003936FA"/>
    <w:rsid w:val="003A391C"/>
    <w:rsid w:val="003B306D"/>
    <w:rsid w:val="003B571B"/>
    <w:rsid w:val="003C3E6F"/>
    <w:rsid w:val="003D79AB"/>
    <w:rsid w:val="0040152D"/>
    <w:rsid w:val="00407F53"/>
    <w:rsid w:val="00410ACF"/>
    <w:rsid w:val="00436FD9"/>
    <w:rsid w:val="00445F28"/>
    <w:rsid w:val="0049073A"/>
    <w:rsid w:val="004959DF"/>
    <w:rsid w:val="004A09CC"/>
    <w:rsid w:val="004A76DE"/>
    <w:rsid w:val="005041FD"/>
    <w:rsid w:val="005161CA"/>
    <w:rsid w:val="00555587"/>
    <w:rsid w:val="005725FF"/>
    <w:rsid w:val="00572E43"/>
    <w:rsid w:val="0059474B"/>
    <w:rsid w:val="0059655C"/>
    <w:rsid w:val="005A4B3A"/>
    <w:rsid w:val="005C3E8B"/>
    <w:rsid w:val="005D0146"/>
    <w:rsid w:val="005D4E8A"/>
    <w:rsid w:val="005E3B6D"/>
    <w:rsid w:val="005E5328"/>
    <w:rsid w:val="005F2778"/>
    <w:rsid w:val="00606003"/>
    <w:rsid w:val="006537BF"/>
    <w:rsid w:val="0067522C"/>
    <w:rsid w:val="006815A7"/>
    <w:rsid w:val="00683CEE"/>
    <w:rsid w:val="0068689C"/>
    <w:rsid w:val="00694F33"/>
    <w:rsid w:val="006A2DB8"/>
    <w:rsid w:val="006A6E8D"/>
    <w:rsid w:val="006D331E"/>
    <w:rsid w:val="006D3446"/>
    <w:rsid w:val="006E595E"/>
    <w:rsid w:val="006F0DBE"/>
    <w:rsid w:val="00702DFE"/>
    <w:rsid w:val="00705EE8"/>
    <w:rsid w:val="007160BB"/>
    <w:rsid w:val="00716BDA"/>
    <w:rsid w:val="00724E28"/>
    <w:rsid w:val="007367B3"/>
    <w:rsid w:val="00755530"/>
    <w:rsid w:val="00767BC5"/>
    <w:rsid w:val="0077196A"/>
    <w:rsid w:val="00780CA9"/>
    <w:rsid w:val="007C71F7"/>
    <w:rsid w:val="007E18BD"/>
    <w:rsid w:val="007F1EDF"/>
    <w:rsid w:val="00801243"/>
    <w:rsid w:val="00804F64"/>
    <w:rsid w:val="00831A0D"/>
    <w:rsid w:val="00843D48"/>
    <w:rsid w:val="00876504"/>
    <w:rsid w:val="00883A28"/>
    <w:rsid w:val="008840D2"/>
    <w:rsid w:val="00890AA2"/>
    <w:rsid w:val="008A2665"/>
    <w:rsid w:val="008A27A2"/>
    <w:rsid w:val="008A6015"/>
    <w:rsid w:val="0095089F"/>
    <w:rsid w:val="00960D72"/>
    <w:rsid w:val="00961B18"/>
    <w:rsid w:val="00993655"/>
    <w:rsid w:val="009A5244"/>
    <w:rsid w:val="009B53EA"/>
    <w:rsid w:val="00A04023"/>
    <w:rsid w:val="00A12129"/>
    <w:rsid w:val="00A32F53"/>
    <w:rsid w:val="00A503E3"/>
    <w:rsid w:val="00A54D9E"/>
    <w:rsid w:val="00A80C43"/>
    <w:rsid w:val="00A92244"/>
    <w:rsid w:val="00AC3FF8"/>
    <w:rsid w:val="00AF204A"/>
    <w:rsid w:val="00B53AD4"/>
    <w:rsid w:val="00B82D27"/>
    <w:rsid w:val="00B86372"/>
    <w:rsid w:val="00B926EB"/>
    <w:rsid w:val="00BC63B9"/>
    <w:rsid w:val="00BE64DE"/>
    <w:rsid w:val="00C079DA"/>
    <w:rsid w:val="00C127C3"/>
    <w:rsid w:val="00C22F1C"/>
    <w:rsid w:val="00C23CC4"/>
    <w:rsid w:val="00C42F8C"/>
    <w:rsid w:val="00C44BED"/>
    <w:rsid w:val="00C714E6"/>
    <w:rsid w:val="00CA32AA"/>
    <w:rsid w:val="00CB30CE"/>
    <w:rsid w:val="00CC4602"/>
    <w:rsid w:val="00CC7BE4"/>
    <w:rsid w:val="00CE1272"/>
    <w:rsid w:val="00D2353F"/>
    <w:rsid w:val="00D27392"/>
    <w:rsid w:val="00D3038E"/>
    <w:rsid w:val="00D36EBA"/>
    <w:rsid w:val="00D70F6C"/>
    <w:rsid w:val="00D756B5"/>
    <w:rsid w:val="00D76725"/>
    <w:rsid w:val="00D77079"/>
    <w:rsid w:val="00DA7A29"/>
    <w:rsid w:val="00E4400A"/>
    <w:rsid w:val="00E6769C"/>
    <w:rsid w:val="00EA1F66"/>
    <w:rsid w:val="00EA5E79"/>
    <w:rsid w:val="00EB2D86"/>
    <w:rsid w:val="00ED6BAF"/>
    <w:rsid w:val="00EF2185"/>
    <w:rsid w:val="00F16D83"/>
    <w:rsid w:val="00F307F9"/>
    <w:rsid w:val="00F434F2"/>
    <w:rsid w:val="00F53BB6"/>
    <w:rsid w:val="00F62426"/>
    <w:rsid w:val="00F62ED2"/>
    <w:rsid w:val="00F664FB"/>
    <w:rsid w:val="00FC2F52"/>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92272"/>
  <w15:chartTrackingRefBased/>
  <w15:docId w15:val="{3C713782-225E-49F4-AE4C-17E900837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53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53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53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53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53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53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53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53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53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3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53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53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53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53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53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53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53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53EA"/>
    <w:rPr>
      <w:rFonts w:eastAsiaTheme="majorEastAsia" w:cstheme="majorBidi"/>
      <w:color w:val="272727" w:themeColor="text1" w:themeTint="D8"/>
    </w:rPr>
  </w:style>
  <w:style w:type="paragraph" w:styleId="Title">
    <w:name w:val="Title"/>
    <w:basedOn w:val="Normal"/>
    <w:next w:val="Normal"/>
    <w:link w:val="TitleChar"/>
    <w:uiPriority w:val="10"/>
    <w:qFormat/>
    <w:rsid w:val="009B53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53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53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53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53EA"/>
    <w:pPr>
      <w:spacing w:before="160"/>
      <w:jc w:val="center"/>
    </w:pPr>
    <w:rPr>
      <w:i/>
      <w:iCs/>
      <w:color w:val="404040" w:themeColor="text1" w:themeTint="BF"/>
    </w:rPr>
  </w:style>
  <w:style w:type="character" w:customStyle="1" w:styleId="QuoteChar">
    <w:name w:val="Quote Char"/>
    <w:basedOn w:val="DefaultParagraphFont"/>
    <w:link w:val="Quote"/>
    <w:uiPriority w:val="29"/>
    <w:rsid w:val="009B53EA"/>
    <w:rPr>
      <w:i/>
      <w:iCs/>
      <w:color w:val="404040" w:themeColor="text1" w:themeTint="BF"/>
    </w:rPr>
  </w:style>
  <w:style w:type="paragraph" w:styleId="ListParagraph">
    <w:name w:val="List Paragraph"/>
    <w:basedOn w:val="Normal"/>
    <w:uiPriority w:val="34"/>
    <w:qFormat/>
    <w:rsid w:val="009B53EA"/>
    <w:pPr>
      <w:ind w:left="720"/>
      <w:contextualSpacing/>
    </w:pPr>
  </w:style>
  <w:style w:type="character" w:styleId="IntenseEmphasis">
    <w:name w:val="Intense Emphasis"/>
    <w:basedOn w:val="DefaultParagraphFont"/>
    <w:uiPriority w:val="21"/>
    <w:qFormat/>
    <w:rsid w:val="009B53EA"/>
    <w:rPr>
      <w:i/>
      <w:iCs/>
      <w:color w:val="0F4761" w:themeColor="accent1" w:themeShade="BF"/>
    </w:rPr>
  </w:style>
  <w:style w:type="paragraph" w:styleId="IntenseQuote">
    <w:name w:val="Intense Quote"/>
    <w:basedOn w:val="Normal"/>
    <w:next w:val="Normal"/>
    <w:link w:val="IntenseQuoteChar"/>
    <w:uiPriority w:val="30"/>
    <w:qFormat/>
    <w:rsid w:val="009B53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53EA"/>
    <w:rPr>
      <w:i/>
      <w:iCs/>
      <w:color w:val="0F4761" w:themeColor="accent1" w:themeShade="BF"/>
    </w:rPr>
  </w:style>
  <w:style w:type="character" w:styleId="IntenseReference">
    <w:name w:val="Intense Reference"/>
    <w:basedOn w:val="DefaultParagraphFont"/>
    <w:uiPriority w:val="32"/>
    <w:qFormat/>
    <w:rsid w:val="009B53EA"/>
    <w:rPr>
      <w:b/>
      <w:bCs/>
      <w:smallCaps/>
      <w:color w:val="0F4761" w:themeColor="accent1" w:themeShade="BF"/>
      <w:spacing w:val="5"/>
    </w:rPr>
  </w:style>
  <w:style w:type="character" w:styleId="Hyperlink">
    <w:name w:val="Hyperlink"/>
    <w:basedOn w:val="DefaultParagraphFont"/>
    <w:uiPriority w:val="99"/>
    <w:unhideWhenUsed/>
    <w:rsid w:val="009B53EA"/>
    <w:rPr>
      <w:color w:val="467886" w:themeColor="hyperlink"/>
      <w:u w:val="single"/>
    </w:rPr>
  </w:style>
  <w:style w:type="character" w:styleId="UnresolvedMention">
    <w:name w:val="Unresolved Mention"/>
    <w:basedOn w:val="DefaultParagraphFont"/>
    <w:uiPriority w:val="99"/>
    <w:semiHidden/>
    <w:unhideWhenUsed/>
    <w:rsid w:val="009B53EA"/>
    <w:rPr>
      <w:color w:val="605E5C"/>
      <w:shd w:val="clear" w:color="auto" w:fill="E1DFDD"/>
    </w:rPr>
  </w:style>
  <w:style w:type="paragraph" w:styleId="FootnoteText">
    <w:name w:val="footnote text"/>
    <w:basedOn w:val="Normal"/>
    <w:link w:val="FootnoteTextChar"/>
    <w:uiPriority w:val="99"/>
    <w:semiHidden/>
    <w:unhideWhenUsed/>
    <w:rsid w:val="00F307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07F9"/>
    <w:rPr>
      <w:sz w:val="20"/>
      <w:szCs w:val="20"/>
    </w:rPr>
  </w:style>
  <w:style w:type="character" w:styleId="FootnoteReference">
    <w:name w:val="footnote reference"/>
    <w:basedOn w:val="DefaultParagraphFont"/>
    <w:uiPriority w:val="99"/>
    <w:semiHidden/>
    <w:unhideWhenUsed/>
    <w:rsid w:val="00F307F9"/>
    <w:rPr>
      <w:vertAlign w:val="superscript"/>
    </w:rPr>
  </w:style>
  <w:style w:type="paragraph" w:styleId="Revision">
    <w:name w:val="Revision"/>
    <w:hidden/>
    <w:uiPriority w:val="99"/>
    <w:semiHidden/>
    <w:rsid w:val="00B86372"/>
    <w:pPr>
      <w:spacing w:after="0" w:line="240" w:lineRule="auto"/>
    </w:pPr>
  </w:style>
  <w:style w:type="character" w:styleId="CommentReference">
    <w:name w:val="annotation reference"/>
    <w:basedOn w:val="DefaultParagraphFont"/>
    <w:uiPriority w:val="99"/>
    <w:semiHidden/>
    <w:unhideWhenUsed/>
    <w:rsid w:val="00CE1272"/>
    <w:rPr>
      <w:sz w:val="16"/>
      <w:szCs w:val="16"/>
    </w:rPr>
  </w:style>
  <w:style w:type="paragraph" w:styleId="CommentText">
    <w:name w:val="annotation text"/>
    <w:basedOn w:val="Normal"/>
    <w:link w:val="CommentTextChar"/>
    <w:uiPriority w:val="99"/>
    <w:unhideWhenUsed/>
    <w:rsid w:val="00CE1272"/>
    <w:pPr>
      <w:spacing w:line="240" w:lineRule="auto"/>
    </w:pPr>
    <w:rPr>
      <w:sz w:val="20"/>
      <w:szCs w:val="20"/>
    </w:rPr>
  </w:style>
  <w:style w:type="character" w:customStyle="1" w:styleId="CommentTextChar">
    <w:name w:val="Comment Text Char"/>
    <w:basedOn w:val="DefaultParagraphFont"/>
    <w:link w:val="CommentText"/>
    <w:uiPriority w:val="99"/>
    <w:rsid w:val="00CE1272"/>
    <w:rPr>
      <w:sz w:val="20"/>
      <w:szCs w:val="20"/>
    </w:rPr>
  </w:style>
  <w:style w:type="paragraph" w:styleId="CommentSubject">
    <w:name w:val="annotation subject"/>
    <w:basedOn w:val="CommentText"/>
    <w:next w:val="CommentText"/>
    <w:link w:val="CommentSubjectChar"/>
    <w:uiPriority w:val="99"/>
    <w:semiHidden/>
    <w:unhideWhenUsed/>
    <w:rsid w:val="00CE1272"/>
    <w:rPr>
      <w:b/>
      <w:bCs/>
    </w:rPr>
  </w:style>
  <w:style w:type="character" w:customStyle="1" w:styleId="CommentSubjectChar">
    <w:name w:val="Comment Subject Char"/>
    <w:basedOn w:val="CommentTextChar"/>
    <w:link w:val="CommentSubject"/>
    <w:uiPriority w:val="99"/>
    <w:semiHidden/>
    <w:rsid w:val="00CE1272"/>
    <w:rPr>
      <w:b/>
      <w:bCs/>
      <w:sz w:val="20"/>
      <w:szCs w:val="20"/>
    </w:rPr>
  </w:style>
  <w:style w:type="paragraph" w:customStyle="1" w:styleId="DisclaimerHeading">
    <w:name w:val="_DisclaimerHeading"/>
    <w:basedOn w:val="Normal"/>
    <w:next w:val="NoSpacing"/>
    <w:qFormat/>
    <w:rsid w:val="00B82D27"/>
    <w:pPr>
      <w:keepNext/>
      <w:spacing w:after="0" w:line="240" w:lineRule="auto"/>
    </w:pPr>
    <w:rPr>
      <w:rFonts w:asciiTheme="majorHAnsi" w:hAnsiTheme="majorHAnsi"/>
      <w:bCs/>
      <w:kern w:val="0"/>
      <w:sz w:val="14"/>
      <w:szCs w:val="18"/>
      <w:lang w:val="en-US"/>
      <w14:ligatures w14:val="none"/>
    </w:rPr>
  </w:style>
  <w:style w:type="paragraph" w:styleId="NoSpacing">
    <w:name w:val="No Spacing"/>
    <w:uiPriority w:val="1"/>
    <w:qFormat/>
    <w:rsid w:val="00B82D27"/>
    <w:pPr>
      <w:spacing w:after="0" w:line="240" w:lineRule="auto"/>
    </w:pPr>
    <w:rPr>
      <w:kern w:val="0"/>
      <w:sz w:val="18"/>
      <w:szCs w:val="18"/>
      <w:lang w:val="en-GB"/>
      <w14:ligatures w14:val="none"/>
    </w:rPr>
  </w:style>
  <w:style w:type="paragraph" w:styleId="Header">
    <w:name w:val="header"/>
    <w:basedOn w:val="Normal"/>
    <w:link w:val="HeaderChar"/>
    <w:uiPriority w:val="99"/>
    <w:semiHidden/>
    <w:unhideWhenUsed/>
    <w:rsid w:val="0035150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51503"/>
  </w:style>
  <w:style w:type="paragraph" w:styleId="Footer">
    <w:name w:val="footer"/>
    <w:basedOn w:val="Normal"/>
    <w:link w:val="FooterChar"/>
    <w:uiPriority w:val="99"/>
    <w:semiHidden/>
    <w:unhideWhenUsed/>
    <w:rsid w:val="0035150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515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obeco.com/en-int/glossary/sustainable-investing/exclus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obeco.com/en-int/thematic-investi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obeco.com/en-int/products/strategies/climate-investin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obeco.com/en-int/sustainable-investing/sustainable-transitio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eb-assets.bcg.com/a1/fc/811b182f481fbe039d51776ec172/landing-the-economic-case-for-climate-action-with-decision-makers-wo-spine-mar-2025.pdf" TargetMode="External"/><Relationship Id="rId2" Type="http://schemas.openxmlformats.org/officeDocument/2006/relationships/hyperlink" Target="https://www.netzerolawyers.com/publications/sustainable-fiduciary-duties---the-time-has-come-for-financial-fiduciaries-to-adapt-to-the-new-climate-reality" TargetMode="External"/><Relationship Id="rId1" Type="http://schemas.openxmlformats.org/officeDocument/2006/relationships/hyperlink" Target="https://tiiproject.com/system-level-investing/" TargetMode="External"/><Relationship Id="rId4" Type="http://schemas.openxmlformats.org/officeDocument/2006/relationships/hyperlink" Target="https://www.oecd.org/en/publications/in-it-together-why-less-inequality-benefits-all_9789264235120-en.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D132F4145014A1BBABF0D8696275FB8"/>
        <w:category>
          <w:name w:val="General"/>
          <w:gallery w:val="placeholder"/>
        </w:category>
        <w:types>
          <w:type w:val="bbPlcHdr"/>
        </w:types>
        <w:behaviors>
          <w:behavior w:val="content"/>
        </w:behaviors>
        <w:guid w:val="{3CF63DDA-8F91-4661-B690-A42104FBCD3E}"/>
      </w:docPartPr>
      <w:docPartBody>
        <w:p w:rsidR="00750B9B" w:rsidRDefault="00E63AD6" w:rsidP="00E63AD6">
          <w:pPr>
            <w:pStyle w:val="ED132F4145014A1BBABF0D8696275FB8"/>
          </w:pPr>
          <w:r>
            <w:rPr>
              <w:rStyle w:val="PlaceholderText"/>
            </w:rPr>
            <w:t>Non-fund disclaimer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0A5"/>
    <w:rsid w:val="000B310C"/>
    <w:rsid w:val="00166ECC"/>
    <w:rsid w:val="003C3E6F"/>
    <w:rsid w:val="00750B9B"/>
    <w:rsid w:val="008530A5"/>
    <w:rsid w:val="00E63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3AD6"/>
    <w:rPr>
      <w:color w:val="808080"/>
    </w:rPr>
  </w:style>
  <w:style w:type="paragraph" w:customStyle="1" w:styleId="5E9D3A9ED6AB4A159D1F93BF75A94481">
    <w:name w:val="5E9D3A9ED6AB4A159D1F93BF75A94481"/>
    <w:rsid w:val="008530A5"/>
  </w:style>
  <w:style w:type="paragraph" w:customStyle="1" w:styleId="9D6414F8010241EEA7DDA203F1D353F6">
    <w:name w:val="9D6414F8010241EEA7DDA203F1D353F6"/>
    <w:rsid w:val="008530A5"/>
  </w:style>
  <w:style w:type="paragraph" w:customStyle="1" w:styleId="ED132F4145014A1BBABF0D8696275FB8">
    <w:name w:val="ED132F4145014A1BBABF0D8696275FB8"/>
    <w:rsid w:val="00E63A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d838c3-3e1d-476b-b222-c109413f74d4">
      <Terms xmlns="http://schemas.microsoft.com/office/infopath/2007/PartnerControls"/>
    </lcf76f155ced4ddcb4097134ff3c332f>
    <TaxCatchAll xmlns="eefd88d7-d970-40ae-9eb9-f5ac2605ac0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5BCD5D3492FA419D72DDC1915631C0" ma:contentTypeVersion="16" ma:contentTypeDescription="Create a new document." ma:contentTypeScope="" ma:versionID="04106253ca69e99922173bfe9c19d9d6">
  <xsd:schema xmlns:xsd="http://www.w3.org/2001/XMLSchema" xmlns:xs="http://www.w3.org/2001/XMLSchema" xmlns:p="http://schemas.microsoft.com/office/2006/metadata/properties" xmlns:ns2="30d838c3-3e1d-476b-b222-c109413f74d4" xmlns:ns3="eefd88d7-d970-40ae-9eb9-f5ac2605ac07" targetNamespace="http://schemas.microsoft.com/office/2006/metadata/properties" ma:root="true" ma:fieldsID="c1a78ae2cc234414fad7fc85c3247819" ns2:_="" ns3:_="">
    <xsd:import namespace="30d838c3-3e1d-476b-b222-c109413f74d4"/>
    <xsd:import namespace="eefd88d7-d970-40ae-9eb9-f5ac2605ac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838c3-3e1d-476b-b222-c109413f74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007909b-dcf9-4792-9704-79f141f3a66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fd88d7-d970-40ae-9eb9-f5ac2605ac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5b5cc8d-3311-4d12-b43d-f73187db3562}" ma:internalName="TaxCatchAll" ma:showField="CatchAllData" ma:web="eefd88d7-d970-40ae-9eb9-f5ac2605ac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FBFAD0-4B75-4DCD-9B50-970EF31E133E}">
  <ds:schemaRefs>
    <ds:schemaRef ds:uri="http://schemas.microsoft.com/office/2006/metadata/properties"/>
    <ds:schemaRef ds:uri="http://schemas.microsoft.com/office/infopath/2007/PartnerControls"/>
    <ds:schemaRef ds:uri="30d838c3-3e1d-476b-b222-c109413f74d4"/>
    <ds:schemaRef ds:uri="eefd88d7-d970-40ae-9eb9-f5ac2605ac07"/>
  </ds:schemaRefs>
</ds:datastoreItem>
</file>

<file path=customXml/itemProps2.xml><?xml version="1.0" encoding="utf-8"?>
<ds:datastoreItem xmlns:ds="http://schemas.openxmlformats.org/officeDocument/2006/customXml" ds:itemID="{28F96C15-FAB7-4945-9EFA-922C86B5FE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838c3-3e1d-476b-b222-c109413f74d4"/>
    <ds:schemaRef ds:uri="eefd88d7-d970-40ae-9eb9-f5ac2605ac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FC58A8-B8EF-4183-87CE-D61A3FF0E806}">
  <ds:schemaRefs>
    <ds:schemaRef ds:uri="http://schemas.openxmlformats.org/officeDocument/2006/bibliography"/>
  </ds:schemaRefs>
</ds:datastoreItem>
</file>

<file path=customXml/itemProps4.xml><?xml version="1.0" encoding="utf-8"?>
<ds:datastoreItem xmlns:ds="http://schemas.openxmlformats.org/officeDocument/2006/customXml" ds:itemID="{018C31C7-4C14-4A07-8886-97B5D5D5D2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1932</Words>
  <Characters>10825</Characters>
  <Application>Microsoft Office Word</Application>
  <DocSecurity>0</DocSecurity>
  <Lines>196</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Zandbergen - Albers, Masja</dc:creator>
  <cp:keywords/>
  <dc:description/>
  <cp:lastModifiedBy>Snel, Clarinda</cp:lastModifiedBy>
  <cp:revision>16</cp:revision>
  <dcterms:created xsi:type="dcterms:W3CDTF">2026-06-18T13:31:00Z</dcterms:created>
  <dcterms:modified xsi:type="dcterms:W3CDTF">2026-07-27T09:57:00Z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da07a6-bb6b-4ce3-8ae9-d00fb5800c48_Enabled">
    <vt:lpwstr>true</vt:lpwstr>
  </property>
  <property fmtid="{D5CDD505-2E9C-101B-9397-08002B2CF9AE}" pid="3" name="MSIP_Label_04da07a6-bb6b-4ce3-8ae9-d00fb5800c48_SetDate">
    <vt:lpwstr>2026-06-17T17:42:03Z</vt:lpwstr>
  </property>
  <property fmtid="{D5CDD505-2E9C-101B-9397-08002B2CF9AE}" pid="4" name="MSIP_Label_04da07a6-bb6b-4ce3-8ae9-d00fb5800c48_Method">
    <vt:lpwstr>Standard</vt:lpwstr>
  </property>
  <property fmtid="{D5CDD505-2E9C-101B-9397-08002B2CF9AE}" pid="5" name="MSIP_Label_04da07a6-bb6b-4ce3-8ae9-d00fb5800c48_Name">
    <vt:lpwstr>04da07a6-bb6b-4ce3-8ae9-d00fb5800c48</vt:lpwstr>
  </property>
  <property fmtid="{D5CDD505-2E9C-101B-9397-08002B2CF9AE}" pid="6" name="MSIP_Label_04da07a6-bb6b-4ce3-8ae9-d00fb5800c48_SiteId">
    <vt:lpwstr>71dd74e2-a620-4a8e-9ac4-a19e1ff9ddff</vt:lpwstr>
  </property>
  <property fmtid="{D5CDD505-2E9C-101B-9397-08002B2CF9AE}" pid="7" name="MSIP_Label_04da07a6-bb6b-4ce3-8ae9-d00fb5800c48_ActionId">
    <vt:lpwstr>6a8ab365-4c8a-484a-b510-4836c6e038d4</vt:lpwstr>
  </property>
  <property fmtid="{D5CDD505-2E9C-101B-9397-08002B2CF9AE}" pid="8" name="MSIP_Label_04da07a6-bb6b-4ce3-8ae9-d00fb5800c48_ContentBits">
    <vt:lpwstr>0</vt:lpwstr>
  </property>
  <property fmtid="{D5CDD505-2E9C-101B-9397-08002B2CF9AE}" pid="9" name="MSIP_Label_04da07a6-bb6b-4ce3-8ae9-d00fb5800c48_Tag">
    <vt:lpwstr>10, 3, 0, 1</vt:lpwstr>
  </property>
  <property fmtid="{D5CDD505-2E9C-101B-9397-08002B2CF9AE}" pid="10" name="MediaServiceImageTags">
    <vt:lpwstr/>
  </property>
  <property fmtid="{D5CDD505-2E9C-101B-9397-08002B2CF9AE}" pid="11" name="ContentTypeId">
    <vt:lpwstr>0x010100BA5BCD5D3492FA419D72DDC1915631C0</vt:lpwstr>
  </property>
</Properties>
</file>