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A9EF" w14:textId="1FB0FE6F" w:rsidR="00FD76C8" w:rsidRPr="00FD76C8" w:rsidRDefault="00FD76C8" w:rsidP="00FD76C8">
      <w:pPr>
        <w:rPr>
          <w:rFonts w:asciiTheme="majorHAnsi" w:hAnsiTheme="majorHAnsi" w:cs="Calibri"/>
          <w:b/>
          <w:bCs/>
          <w:sz w:val="22"/>
          <w:szCs w:val="22"/>
        </w:rPr>
      </w:pPr>
      <w:r w:rsidRPr="00FD76C8">
        <w:rPr>
          <w:rFonts w:asciiTheme="majorHAnsi" w:hAnsiTheme="majorHAnsi" w:cs="Calibri"/>
          <w:b/>
          <w:bCs/>
          <w:sz w:val="22"/>
          <w:szCs w:val="22"/>
        </w:rPr>
        <w:t xml:space="preserve">Emerging </w:t>
      </w:r>
      <w:r w:rsidRPr="00134513">
        <w:rPr>
          <w:rFonts w:asciiTheme="majorHAnsi" w:hAnsiTheme="majorHAnsi" w:cs="Calibri"/>
          <w:b/>
          <w:bCs/>
          <w:sz w:val="22"/>
          <w:szCs w:val="22"/>
        </w:rPr>
        <w:t>m</w:t>
      </w:r>
      <w:r w:rsidRPr="00FD76C8">
        <w:rPr>
          <w:rFonts w:asciiTheme="majorHAnsi" w:hAnsiTheme="majorHAnsi" w:cs="Calibri"/>
          <w:b/>
          <w:bCs/>
          <w:sz w:val="22"/>
          <w:szCs w:val="22"/>
        </w:rPr>
        <w:t xml:space="preserve">arkets’ </w:t>
      </w:r>
      <w:r w:rsidRPr="00134513">
        <w:rPr>
          <w:rFonts w:asciiTheme="majorHAnsi" w:hAnsiTheme="majorHAnsi" w:cs="Calibri"/>
          <w:b/>
          <w:bCs/>
          <w:sz w:val="22"/>
          <w:szCs w:val="22"/>
        </w:rPr>
        <w:t>s</w:t>
      </w:r>
      <w:r w:rsidRPr="00FD76C8">
        <w:rPr>
          <w:rFonts w:asciiTheme="majorHAnsi" w:hAnsiTheme="majorHAnsi" w:cs="Calibri"/>
          <w:b/>
          <w:bCs/>
          <w:sz w:val="22"/>
          <w:szCs w:val="22"/>
        </w:rPr>
        <w:t xml:space="preserve">trength </w:t>
      </w:r>
      <w:r w:rsidRPr="00134513">
        <w:rPr>
          <w:rFonts w:asciiTheme="majorHAnsi" w:hAnsiTheme="majorHAnsi" w:cs="Calibri"/>
          <w:b/>
          <w:bCs/>
          <w:sz w:val="22"/>
          <w:szCs w:val="22"/>
        </w:rPr>
        <w:t>i</w:t>
      </w:r>
      <w:r w:rsidRPr="00FD76C8">
        <w:rPr>
          <w:rFonts w:asciiTheme="majorHAnsi" w:hAnsiTheme="majorHAnsi" w:cs="Calibri"/>
          <w:b/>
          <w:bCs/>
          <w:sz w:val="22"/>
          <w:szCs w:val="22"/>
        </w:rPr>
        <w:t xml:space="preserve">s </w:t>
      </w:r>
      <w:r w:rsidRPr="00134513">
        <w:rPr>
          <w:rFonts w:asciiTheme="majorHAnsi" w:hAnsiTheme="majorHAnsi" w:cs="Calibri"/>
          <w:b/>
          <w:bCs/>
          <w:sz w:val="22"/>
          <w:szCs w:val="22"/>
        </w:rPr>
        <w:t>c</w:t>
      </w:r>
      <w:r w:rsidRPr="00FD76C8">
        <w:rPr>
          <w:rFonts w:asciiTheme="majorHAnsi" w:hAnsiTheme="majorHAnsi" w:cs="Calibri"/>
          <w:b/>
          <w:bCs/>
          <w:sz w:val="22"/>
          <w:szCs w:val="22"/>
        </w:rPr>
        <w:t xml:space="preserve">oming </w:t>
      </w:r>
      <w:r w:rsidRPr="00134513">
        <w:rPr>
          <w:rFonts w:asciiTheme="majorHAnsi" w:hAnsiTheme="majorHAnsi" w:cs="Calibri"/>
          <w:b/>
          <w:bCs/>
          <w:sz w:val="22"/>
          <w:szCs w:val="22"/>
        </w:rPr>
        <w:t>f</w:t>
      </w:r>
      <w:r w:rsidRPr="00FD76C8">
        <w:rPr>
          <w:rFonts w:asciiTheme="majorHAnsi" w:hAnsiTheme="majorHAnsi" w:cs="Calibri"/>
          <w:b/>
          <w:bCs/>
          <w:sz w:val="22"/>
          <w:szCs w:val="22"/>
        </w:rPr>
        <w:t xml:space="preserve">rom </w:t>
      </w:r>
      <w:r w:rsidRPr="00134513">
        <w:rPr>
          <w:rFonts w:asciiTheme="majorHAnsi" w:hAnsiTheme="majorHAnsi" w:cs="Calibri"/>
          <w:b/>
          <w:bCs/>
          <w:sz w:val="22"/>
          <w:szCs w:val="22"/>
        </w:rPr>
        <w:t>w</w:t>
      </w:r>
      <w:r w:rsidRPr="00FD76C8">
        <w:rPr>
          <w:rFonts w:asciiTheme="majorHAnsi" w:hAnsiTheme="majorHAnsi" w:cs="Calibri"/>
          <w:b/>
          <w:bCs/>
          <w:sz w:val="22"/>
          <w:szCs w:val="22"/>
        </w:rPr>
        <w:t>ithin</w:t>
      </w:r>
    </w:p>
    <w:p w14:paraId="391E7A3C" w14:textId="07B3ED36" w:rsidR="005C0A35" w:rsidRPr="005C0A35" w:rsidRDefault="005C0A35" w:rsidP="005C0A35">
      <w:pPr>
        <w:rPr>
          <w:rFonts w:cs="Calibri"/>
          <w:i/>
          <w:iCs/>
          <w:sz w:val="22"/>
          <w:szCs w:val="22"/>
        </w:rPr>
      </w:pPr>
      <w:r w:rsidRPr="005C0A35">
        <w:rPr>
          <w:rFonts w:cs="Calibri"/>
          <w:i/>
          <w:iCs/>
          <w:sz w:val="22"/>
          <w:szCs w:val="22"/>
        </w:rPr>
        <w:t>By Jan de Bruijn, Client Portfolio Manager</w:t>
      </w:r>
      <w:r w:rsidR="009F1E4E">
        <w:rPr>
          <w:rFonts w:cs="Calibri"/>
          <w:i/>
          <w:iCs/>
          <w:sz w:val="22"/>
          <w:szCs w:val="22"/>
        </w:rPr>
        <w:t xml:space="preserve"> at Robeco</w:t>
      </w:r>
    </w:p>
    <w:p w14:paraId="7E98407C" w14:textId="52A8FAB3" w:rsidR="00134513" w:rsidRDefault="005C0A35" w:rsidP="005C0A35">
      <w:pPr>
        <w:rPr>
          <w:rFonts w:cs="Calibri"/>
          <w:sz w:val="22"/>
          <w:szCs w:val="22"/>
        </w:rPr>
      </w:pPr>
      <w:r w:rsidRPr="005C0A35">
        <w:rPr>
          <w:rFonts w:cs="Calibri"/>
          <w:i/>
          <w:iCs/>
          <w:sz w:val="22"/>
          <w:szCs w:val="22"/>
        </w:rPr>
        <w:t>In 2026, emerging</w:t>
      </w:r>
      <w:r w:rsidRPr="00134513">
        <w:rPr>
          <w:rFonts w:cs="Calibri"/>
          <w:i/>
          <w:iCs/>
          <w:sz w:val="22"/>
          <w:szCs w:val="22"/>
        </w:rPr>
        <w:t xml:space="preserve"> </w:t>
      </w:r>
      <w:r w:rsidRPr="005C0A35">
        <w:rPr>
          <w:rFonts w:cs="Calibri"/>
          <w:i/>
          <w:iCs/>
          <w:sz w:val="22"/>
          <w:szCs w:val="22"/>
        </w:rPr>
        <w:t xml:space="preserve">market (EM) equities are </w:t>
      </w:r>
      <w:r w:rsidR="006E2222">
        <w:rPr>
          <w:rFonts w:cs="Calibri"/>
          <w:i/>
          <w:iCs/>
          <w:sz w:val="22"/>
          <w:szCs w:val="22"/>
        </w:rPr>
        <w:t xml:space="preserve">now </w:t>
      </w:r>
      <w:r w:rsidRPr="005C0A35">
        <w:rPr>
          <w:rFonts w:cs="Calibri"/>
          <w:i/>
          <w:iCs/>
          <w:sz w:val="22"/>
          <w:szCs w:val="22"/>
        </w:rPr>
        <w:t>being driven by domestic demand, innovation ecosystems and local capital</w:t>
      </w:r>
      <w:r w:rsidR="002672B1">
        <w:rPr>
          <w:rFonts w:cs="Calibri"/>
          <w:i/>
          <w:iCs/>
          <w:sz w:val="22"/>
          <w:szCs w:val="22"/>
        </w:rPr>
        <w:t xml:space="preserve">, rather than </w:t>
      </w:r>
      <w:r w:rsidR="00123330">
        <w:rPr>
          <w:rFonts w:cs="Calibri"/>
          <w:i/>
          <w:iCs/>
          <w:sz w:val="22"/>
          <w:szCs w:val="22"/>
        </w:rPr>
        <w:t>the US business cycle</w:t>
      </w:r>
      <w:r w:rsidRPr="005C0A35">
        <w:rPr>
          <w:rFonts w:cs="Calibri"/>
          <w:i/>
          <w:iCs/>
          <w:sz w:val="22"/>
          <w:szCs w:val="22"/>
        </w:rPr>
        <w:t>. If you’re still treating EM as a high</w:t>
      </w:r>
      <w:r w:rsidRPr="005C0A35">
        <w:rPr>
          <w:rFonts w:cs="Calibri"/>
          <w:i/>
          <w:iCs/>
          <w:sz w:val="22"/>
          <w:szCs w:val="22"/>
        </w:rPr>
        <w:noBreakHyphen/>
        <w:t>beta add</w:t>
      </w:r>
      <w:r w:rsidRPr="005C0A35">
        <w:rPr>
          <w:rFonts w:cs="Calibri"/>
          <w:i/>
          <w:iCs/>
          <w:sz w:val="22"/>
          <w:szCs w:val="22"/>
        </w:rPr>
        <w:noBreakHyphen/>
        <w:t>on to developed markets, you’re investing with yesterday’s map.</w:t>
      </w:r>
      <w:r w:rsidRPr="00134513">
        <w:rPr>
          <w:rFonts w:cs="Calibri"/>
          <w:i/>
          <w:iCs/>
          <w:sz w:val="22"/>
          <w:szCs w:val="22"/>
        </w:rPr>
        <w:br/>
      </w:r>
      <w:r w:rsidRPr="00134513">
        <w:rPr>
          <w:rFonts w:cs="Calibri"/>
          <w:i/>
          <w:iCs/>
          <w:sz w:val="22"/>
          <w:szCs w:val="22"/>
        </w:rPr>
        <w:br/>
      </w:r>
      <w:r w:rsidRPr="005C0A35">
        <w:rPr>
          <w:rFonts w:cs="Calibri"/>
          <w:b/>
          <w:bCs/>
          <w:sz w:val="22"/>
          <w:szCs w:val="22"/>
        </w:rPr>
        <w:t>The outdated frame</w:t>
      </w:r>
      <w:r w:rsidRPr="00134513">
        <w:rPr>
          <w:rFonts w:cs="Calibri"/>
          <w:sz w:val="22"/>
          <w:szCs w:val="22"/>
        </w:rPr>
        <w:br/>
      </w:r>
      <w:r w:rsidRPr="005C0A35">
        <w:rPr>
          <w:rFonts w:cs="Calibri"/>
          <w:sz w:val="22"/>
          <w:szCs w:val="22"/>
        </w:rPr>
        <w:t>For years, EM was boxed as a commodity proxy, a levered play on China, or a diversifier in a DM</w:t>
      </w:r>
      <w:r w:rsidRPr="005C0A35">
        <w:rPr>
          <w:rFonts w:cs="Calibri"/>
          <w:sz w:val="22"/>
          <w:szCs w:val="22"/>
        </w:rPr>
        <w:noBreakHyphen/>
        <w:t>centric portfolio. Th</w:t>
      </w:r>
      <w:r w:rsidR="00BA318E">
        <w:rPr>
          <w:rFonts w:cs="Calibri"/>
          <w:sz w:val="22"/>
          <w:szCs w:val="22"/>
        </w:rPr>
        <w:t>e</w:t>
      </w:r>
      <w:r w:rsidRPr="005C0A35">
        <w:rPr>
          <w:rFonts w:cs="Calibri"/>
          <w:sz w:val="22"/>
          <w:szCs w:val="22"/>
        </w:rPr>
        <w:t xml:space="preserve"> economic architecture has shifted: EM and developing economies now account for the majority of global GDP on a PPP basis</w:t>
      </w:r>
      <w:r w:rsidR="00593F94">
        <w:rPr>
          <w:rFonts w:cs="Calibri"/>
          <w:sz w:val="22"/>
          <w:szCs w:val="22"/>
        </w:rPr>
        <w:t xml:space="preserve"> and growth projection</w:t>
      </w:r>
      <w:r w:rsidR="00737DF3">
        <w:rPr>
          <w:rFonts w:cs="Calibri"/>
          <w:sz w:val="22"/>
          <w:szCs w:val="22"/>
        </w:rPr>
        <w:t>s</w:t>
      </w:r>
      <w:r w:rsidR="00593F94">
        <w:rPr>
          <w:rFonts w:cs="Calibri"/>
          <w:sz w:val="22"/>
          <w:szCs w:val="22"/>
        </w:rPr>
        <w:t xml:space="preserve"> expect that gap to persist</w:t>
      </w:r>
      <w:r w:rsidRPr="005C0A35">
        <w:rPr>
          <w:rFonts w:cs="Calibri"/>
          <w:sz w:val="22"/>
          <w:szCs w:val="22"/>
        </w:rPr>
        <w:t>. But more important than growth differentials is what’s powering them: stronger balance sheets in many markets and faster</w:t>
      </w:r>
      <w:r w:rsidRPr="005C0A35">
        <w:rPr>
          <w:rFonts w:cs="Calibri"/>
          <w:sz w:val="22"/>
          <w:szCs w:val="22"/>
        </w:rPr>
        <w:noBreakHyphen/>
        <w:t>moving policy frameworks.</w:t>
      </w:r>
      <w:r w:rsidRPr="00134513">
        <w:rPr>
          <w:rFonts w:cs="Calibri"/>
          <w:sz w:val="22"/>
          <w:szCs w:val="22"/>
        </w:rPr>
        <w:br/>
      </w:r>
      <w:r w:rsidRPr="00134513">
        <w:rPr>
          <w:rFonts w:cs="Calibri"/>
          <w:sz w:val="22"/>
          <w:szCs w:val="22"/>
        </w:rPr>
        <w:br/>
      </w:r>
      <w:r w:rsidRPr="00134513">
        <w:rPr>
          <w:rFonts w:cs="Calibri"/>
          <w:b/>
          <w:bCs/>
          <w:sz w:val="22"/>
          <w:szCs w:val="22"/>
        </w:rPr>
        <w:t xml:space="preserve">The new EM reality: </w:t>
      </w:r>
      <w:r w:rsidR="00737DF3">
        <w:rPr>
          <w:rFonts w:cs="Calibri"/>
          <w:b/>
          <w:bCs/>
          <w:sz w:val="22"/>
          <w:szCs w:val="22"/>
        </w:rPr>
        <w:t>B</w:t>
      </w:r>
      <w:r w:rsidRPr="00134513">
        <w:rPr>
          <w:rFonts w:cs="Calibri"/>
          <w:b/>
          <w:bCs/>
          <w:sz w:val="22"/>
          <w:szCs w:val="22"/>
        </w:rPr>
        <w:t>igger, faster, more flexible</w:t>
      </w:r>
      <w:r w:rsidRPr="00134513">
        <w:rPr>
          <w:rFonts w:cs="Calibri"/>
          <w:sz w:val="22"/>
          <w:szCs w:val="22"/>
        </w:rPr>
        <w:br/>
      </w:r>
      <w:r w:rsidRPr="005C0A35">
        <w:rPr>
          <w:rFonts w:cs="Calibri"/>
          <w:sz w:val="22"/>
          <w:szCs w:val="22"/>
        </w:rPr>
        <w:t>With a handful of exceptions, the public and private debt burdens across large parts of EM remain meaningfully lower than in many advanced economies, which gives policymakers more room to act. We saw that difference in the post</w:t>
      </w:r>
      <w:r w:rsidRPr="005C0A35">
        <w:rPr>
          <w:rFonts w:cs="Calibri"/>
          <w:sz w:val="22"/>
          <w:szCs w:val="22"/>
        </w:rPr>
        <w:noBreakHyphen/>
        <w:t>pandemic cycle when several EM central banks moved earlier and maintained positive real policy rates, stabili</w:t>
      </w:r>
      <w:r w:rsidR="0005216F">
        <w:rPr>
          <w:rFonts w:cs="Calibri"/>
          <w:sz w:val="22"/>
          <w:szCs w:val="22"/>
        </w:rPr>
        <w:t>z</w:t>
      </w:r>
      <w:r w:rsidRPr="005C0A35">
        <w:rPr>
          <w:rFonts w:cs="Calibri"/>
          <w:sz w:val="22"/>
          <w:szCs w:val="22"/>
        </w:rPr>
        <w:t xml:space="preserve">ing currencies and protecting domestic savers rather than chasing </w:t>
      </w:r>
      <w:r w:rsidR="0005216F">
        <w:rPr>
          <w:rFonts w:cs="Calibri"/>
          <w:sz w:val="22"/>
          <w:szCs w:val="22"/>
        </w:rPr>
        <w:t xml:space="preserve">the </w:t>
      </w:r>
      <w:r w:rsidRPr="005C0A35">
        <w:rPr>
          <w:rFonts w:cs="Calibri"/>
          <w:sz w:val="22"/>
          <w:szCs w:val="22"/>
        </w:rPr>
        <w:t>market mood. This isn’t the EM of the 1990s</w:t>
      </w:r>
      <w:r w:rsidR="00FE558B">
        <w:rPr>
          <w:rFonts w:cs="Calibri"/>
          <w:sz w:val="22"/>
          <w:szCs w:val="22"/>
        </w:rPr>
        <w:t>. Leading EM economies</w:t>
      </w:r>
      <w:r w:rsidRPr="005C0A35">
        <w:rPr>
          <w:rFonts w:cs="Calibri"/>
          <w:sz w:val="22"/>
          <w:szCs w:val="22"/>
        </w:rPr>
        <w:t xml:space="preserve"> </w:t>
      </w:r>
      <w:r w:rsidR="00FE558B">
        <w:rPr>
          <w:rFonts w:cs="Calibri"/>
          <w:sz w:val="22"/>
          <w:szCs w:val="22"/>
        </w:rPr>
        <w:t>have</w:t>
      </w:r>
      <w:r w:rsidRPr="005C0A35">
        <w:rPr>
          <w:rFonts w:cs="Calibri"/>
          <w:sz w:val="22"/>
          <w:szCs w:val="22"/>
        </w:rPr>
        <w:t xml:space="preserve"> the institutional capacity to act</w:t>
      </w:r>
      <w:r w:rsidR="00134513">
        <w:rPr>
          <w:rFonts w:cs="Calibri"/>
          <w:sz w:val="22"/>
          <w:szCs w:val="22"/>
        </w:rPr>
        <w:t>,</w:t>
      </w:r>
      <w:r w:rsidRPr="005C0A35">
        <w:rPr>
          <w:rFonts w:cs="Calibri"/>
          <w:sz w:val="22"/>
          <w:szCs w:val="22"/>
        </w:rPr>
        <w:t xml:space="preserve"> and to act first.</w:t>
      </w:r>
    </w:p>
    <w:p w14:paraId="2AFEA556" w14:textId="44D559D8" w:rsidR="00134513" w:rsidRDefault="005C0A35" w:rsidP="005C0A35">
      <w:pPr>
        <w:rPr>
          <w:rFonts w:cs="Calibri"/>
          <w:sz w:val="22"/>
          <w:szCs w:val="22"/>
        </w:rPr>
      </w:pPr>
      <w:r w:rsidRPr="005C0A35">
        <w:rPr>
          <w:rFonts w:cs="Calibri"/>
          <w:sz w:val="22"/>
          <w:szCs w:val="22"/>
        </w:rPr>
        <w:t>Trade exposures have evolved, too. China’s export share to the US has fallen while intra</w:t>
      </w:r>
      <w:r w:rsidRPr="005C0A35">
        <w:rPr>
          <w:rFonts w:cs="Calibri"/>
          <w:sz w:val="22"/>
          <w:szCs w:val="22"/>
        </w:rPr>
        <w:noBreakHyphen/>
        <w:t xml:space="preserve">EM trade has risen; Europe’s </w:t>
      </w:r>
      <w:r w:rsidR="00711EC5">
        <w:rPr>
          <w:rFonts w:cs="Calibri"/>
          <w:sz w:val="22"/>
          <w:szCs w:val="22"/>
        </w:rPr>
        <w:t>trade deals</w:t>
      </w:r>
      <w:r w:rsidRPr="005C0A35">
        <w:rPr>
          <w:rFonts w:cs="Calibri"/>
          <w:sz w:val="22"/>
          <w:szCs w:val="22"/>
        </w:rPr>
        <w:t xml:space="preserve"> </w:t>
      </w:r>
      <w:r w:rsidR="00711EC5">
        <w:rPr>
          <w:rFonts w:cs="Calibri"/>
          <w:sz w:val="22"/>
          <w:szCs w:val="22"/>
        </w:rPr>
        <w:t>with</w:t>
      </w:r>
      <w:r w:rsidRPr="005C0A35">
        <w:rPr>
          <w:rFonts w:cs="Calibri"/>
          <w:sz w:val="22"/>
          <w:szCs w:val="22"/>
        </w:rPr>
        <w:t xml:space="preserve"> India and Mercosur underscore a rewiring of demand corridors that diversify away from a single external engine. Sensitivity to the US cycle persists in places like Korea, Taiwan and Mexico, but the direction of travel is toward regional ecosystems with their own sources of demand.</w:t>
      </w:r>
      <w:r w:rsidR="00134513" w:rsidRPr="00134513">
        <w:rPr>
          <w:rFonts w:cs="Calibri"/>
          <w:sz w:val="22"/>
          <w:szCs w:val="22"/>
        </w:rPr>
        <w:br/>
      </w:r>
      <w:r w:rsidR="00134513" w:rsidRPr="00134513">
        <w:rPr>
          <w:rFonts w:cs="Calibri"/>
          <w:sz w:val="22"/>
          <w:szCs w:val="22"/>
        </w:rPr>
        <w:br/>
      </w:r>
      <w:r w:rsidRPr="005C0A35">
        <w:rPr>
          <w:rFonts w:cs="Calibri"/>
          <w:b/>
          <w:bCs/>
          <w:sz w:val="22"/>
          <w:szCs w:val="22"/>
        </w:rPr>
        <w:t>From old economy to the innovation trinity</w:t>
      </w:r>
      <w:r w:rsidRPr="00134513">
        <w:rPr>
          <w:rFonts w:cs="Calibri"/>
          <w:sz w:val="22"/>
          <w:szCs w:val="22"/>
        </w:rPr>
        <w:br/>
      </w:r>
      <w:r w:rsidRPr="005C0A35">
        <w:rPr>
          <w:rFonts w:cs="Calibri"/>
          <w:sz w:val="22"/>
          <w:szCs w:val="22"/>
        </w:rPr>
        <w:t>Look under the hood and the sector story is even clearer. In 2008, extractive industries dominated EM equities. By 2025, technology became the largest s</w:t>
      </w:r>
      <w:r w:rsidR="008839EE">
        <w:rPr>
          <w:rFonts w:cs="Calibri"/>
          <w:sz w:val="22"/>
          <w:szCs w:val="22"/>
        </w:rPr>
        <w:t>ector</w:t>
      </w:r>
      <w:r w:rsidRPr="005C0A35">
        <w:rPr>
          <w:rFonts w:cs="Calibri"/>
          <w:sz w:val="22"/>
          <w:szCs w:val="22"/>
        </w:rPr>
        <w:t xml:space="preserve">, with materials and energy still relevant but no longer </w:t>
      </w:r>
      <w:r w:rsidR="00AB2CB3">
        <w:rPr>
          <w:rFonts w:cs="Calibri"/>
          <w:sz w:val="22"/>
          <w:szCs w:val="22"/>
        </w:rPr>
        <w:t>in the lead</w:t>
      </w:r>
      <w:r w:rsidRPr="005C0A35">
        <w:rPr>
          <w:rFonts w:cs="Calibri"/>
          <w:sz w:val="22"/>
          <w:szCs w:val="22"/>
        </w:rPr>
        <w:t>. EM’s value creation now clusters around an innovation trinity: AI hardware and advanced semiconductors, the energy transition (from batteries to solar components), and digital infrastructure. These ar</w:t>
      </w:r>
      <w:r w:rsidR="00AB2CB3">
        <w:rPr>
          <w:rFonts w:cs="Calibri"/>
          <w:sz w:val="22"/>
          <w:szCs w:val="22"/>
        </w:rPr>
        <w:t>e</w:t>
      </w:r>
      <w:r w:rsidRPr="005C0A35">
        <w:rPr>
          <w:rFonts w:cs="Calibri"/>
          <w:sz w:val="22"/>
          <w:szCs w:val="22"/>
        </w:rPr>
        <w:t xml:space="preserve"> industrial ecosystems backed by policy, talent and scale, especially in Taiwan and Korea where supply chains run from upstream materials to back</w:t>
      </w:r>
      <w:r w:rsidRPr="005C0A35">
        <w:rPr>
          <w:rFonts w:cs="Calibri"/>
          <w:sz w:val="22"/>
          <w:szCs w:val="22"/>
        </w:rPr>
        <w:noBreakHyphen/>
        <w:t>end testing and packaging and are not easily replicated elsewhere.</w:t>
      </w:r>
    </w:p>
    <w:p w14:paraId="1EC2D523" w14:textId="26D15894" w:rsidR="00134513" w:rsidRDefault="005C0A35" w:rsidP="005C0A35">
      <w:pPr>
        <w:rPr>
          <w:rFonts w:cs="Calibri"/>
          <w:b/>
          <w:bCs/>
          <w:sz w:val="22"/>
          <w:szCs w:val="22"/>
        </w:rPr>
      </w:pPr>
      <w:r w:rsidRPr="005C0A35">
        <w:rPr>
          <w:rFonts w:cs="Calibri"/>
          <w:sz w:val="22"/>
          <w:szCs w:val="22"/>
        </w:rPr>
        <w:t>Digital infrastructure is more nuanced</w:t>
      </w:r>
      <w:r w:rsidR="00134513">
        <w:rPr>
          <w:rFonts w:cs="Calibri"/>
          <w:sz w:val="22"/>
          <w:szCs w:val="22"/>
        </w:rPr>
        <w:t xml:space="preserve">, </w:t>
      </w:r>
      <w:r w:rsidRPr="005C0A35">
        <w:rPr>
          <w:rFonts w:cs="Calibri"/>
          <w:sz w:val="22"/>
          <w:szCs w:val="22"/>
        </w:rPr>
        <w:t xml:space="preserve">US </w:t>
      </w:r>
      <w:proofErr w:type="spellStart"/>
      <w:r w:rsidRPr="005C0A35">
        <w:rPr>
          <w:rFonts w:cs="Calibri"/>
          <w:sz w:val="22"/>
          <w:szCs w:val="22"/>
        </w:rPr>
        <w:t>hyperscalers</w:t>
      </w:r>
      <w:proofErr w:type="spellEnd"/>
      <w:r w:rsidRPr="005C0A35">
        <w:rPr>
          <w:rFonts w:cs="Calibri"/>
          <w:sz w:val="22"/>
          <w:szCs w:val="22"/>
        </w:rPr>
        <w:t xml:space="preserve"> still own global platforms</w:t>
      </w:r>
      <w:r w:rsidR="00134513">
        <w:rPr>
          <w:rFonts w:cs="Calibri"/>
          <w:sz w:val="22"/>
          <w:szCs w:val="22"/>
        </w:rPr>
        <w:t xml:space="preserve">, </w:t>
      </w:r>
      <w:r w:rsidRPr="005C0A35">
        <w:rPr>
          <w:rFonts w:cs="Calibri"/>
          <w:sz w:val="22"/>
          <w:szCs w:val="22"/>
        </w:rPr>
        <w:t>but leapfrogging is real. In markets where branch banking and card networks were thin, mobile</w:t>
      </w:r>
      <w:r w:rsidRPr="005C0A35">
        <w:rPr>
          <w:rFonts w:cs="Calibri"/>
          <w:sz w:val="22"/>
          <w:szCs w:val="22"/>
        </w:rPr>
        <w:noBreakHyphen/>
        <w:t xml:space="preserve">first finance scaled fast; </w:t>
      </w:r>
      <w:r w:rsidR="00737DF3">
        <w:rPr>
          <w:rFonts w:cs="Calibri"/>
          <w:sz w:val="22"/>
          <w:szCs w:val="22"/>
        </w:rPr>
        <w:t>‘</w:t>
      </w:r>
      <w:r w:rsidRPr="005C0A35">
        <w:rPr>
          <w:rFonts w:cs="Calibri"/>
          <w:sz w:val="22"/>
          <w:szCs w:val="22"/>
        </w:rPr>
        <w:t>super</w:t>
      </w:r>
      <w:r w:rsidRPr="005C0A35">
        <w:rPr>
          <w:rFonts w:cs="Calibri"/>
          <w:sz w:val="22"/>
          <w:szCs w:val="22"/>
        </w:rPr>
        <w:noBreakHyphen/>
        <w:t>apps</w:t>
      </w:r>
      <w:r w:rsidR="00737DF3">
        <w:rPr>
          <w:rFonts w:cs="Calibri"/>
          <w:sz w:val="22"/>
          <w:szCs w:val="22"/>
        </w:rPr>
        <w:t>’</w:t>
      </w:r>
      <w:r w:rsidRPr="005C0A35">
        <w:rPr>
          <w:rFonts w:cs="Calibri"/>
          <w:sz w:val="22"/>
          <w:szCs w:val="22"/>
        </w:rPr>
        <w:t xml:space="preserve"> stitched payments, commerce, communications and entertainment into a single experience. The result isn’t a DM clone but a different operating system for moneti</w:t>
      </w:r>
      <w:r w:rsidR="00AB2CB3">
        <w:rPr>
          <w:rFonts w:cs="Calibri"/>
          <w:sz w:val="22"/>
          <w:szCs w:val="22"/>
        </w:rPr>
        <w:t>z</w:t>
      </w:r>
      <w:r w:rsidRPr="005C0A35">
        <w:rPr>
          <w:rFonts w:cs="Calibri"/>
          <w:sz w:val="22"/>
          <w:szCs w:val="22"/>
        </w:rPr>
        <w:t>ing digital adoption at speed.</w:t>
      </w:r>
      <w:r w:rsidR="00134513" w:rsidRPr="00134513">
        <w:rPr>
          <w:rFonts w:cs="Calibri"/>
          <w:sz w:val="22"/>
          <w:szCs w:val="22"/>
        </w:rPr>
        <w:br/>
      </w:r>
      <w:r w:rsidR="00134513" w:rsidRPr="00134513">
        <w:rPr>
          <w:rFonts w:cs="Calibri"/>
          <w:sz w:val="22"/>
          <w:szCs w:val="22"/>
        </w:rPr>
        <w:br/>
      </w:r>
    </w:p>
    <w:p w14:paraId="49D2397D" w14:textId="586C03EE" w:rsidR="0031793E" w:rsidRDefault="005C0A35" w:rsidP="005C0A35">
      <w:pPr>
        <w:rPr>
          <w:rFonts w:cs="Calibri"/>
          <w:sz w:val="22"/>
          <w:szCs w:val="22"/>
        </w:rPr>
      </w:pPr>
      <w:r w:rsidRPr="005C0A35">
        <w:rPr>
          <w:rFonts w:cs="Calibri"/>
          <w:b/>
          <w:bCs/>
          <w:sz w:val="22"/>
          <w:szCs w:val="22"/>
        </w:rPr>
        <w:lastRenderedPageBreak/>
        <w:t xml:space="preserve">Domestic capital: </w:t>
      </w:r>
      <w:r w:rsidR="00737DF3">
        <w:rPr>
          <w:rFonts w:cs="Calibri"/>
          <w:b/>
          <w:bCs/>
          <w:sz w:val="22"/>
          <w:szCs w:val="22"/>
        </w:rPr>
        <w:t>T</w:t>
      </w:r>
      <w:r w:rsidRPr="005C0A35">
        <w:rPr>
          <w:rFonts w:cs="Calibri"/>
          <w:b/>
          <w:bCs/>
          <w:sz w:val="22"/>
          <w:szCs w:val="22"/>
        </w:rPr>
        <w:t>he quiet revolution</w:t>
      </w:r>
      <w:r w:rsidRPr="00134513">
        <w:rPr>
          <w:rFonts w:cs="Calibri"/>
          <w:sz w:val="22"/>
          <w:szCs w:val="22"/>
        </w:rPr>
        <w:br/>
      </w:r>
      <w:r w:rsidRPr="005C0A35">
        <w:rPr>
          <w:rFonts w:cs="Calibri"/>
          <w:sz w:val="22"/>
          <w:szCs w:val="22"/>
        </w:rPr>
        <w:t xml:space="preserve">Rising living standards and maturing financial systems are reshaping who sets prices in EM equities. </w:t>
      </w:r>
      <w:r w:rsidR="00134513" w:rsidRPr="00134513">
        <w:rPr>
          <w:rFonts w:cs="Calibri"/>
          <w:sz w:val="22"/>
          <w:szCs w:val="22"/>
        </w:rPr>
        <w:t xml:space="preserve">Local savings pools such as pensions, sovereign wealth funds, </w:t>
      </w:r>
      <w:r w:rsidR="00860444">
        <w:rPr>
          <w:rFonts w:cs="Calibri"/>
          <w:sz w:val="22"/>
          <w:szCs w:val="22"/>
        </w:rPr>
        <w:t xml:space="preserve">and </w:t>
      </w:r>
      <w:r w:rsidR="00134513" w:rsidRPr="00134513">
        <w:rPr>
          <w:rFonts w:cs="Calibri"/>
          <w:sz w:val="22"/>
          <w:szCs w:val="22"/>
        </w:rPr>
        <w:t>insurers now anchor liquidity in several large markets.</w:t>
      </w:r>
      <w:r w:rsidR="00134513">
        <w:rPr>
          <w:rFonts w:cs="Calibri"/>
          <w:sz w:val="22"/>
          <w:szCs w:val="22"/>
        </w:rPr>
        <w:t xml:space="preserve"> </w:t>
      </w:r>
      <w:r w:rsidRPr="005C0A35">
        <w:rPr>
          <w:rFonts w:cs="Calibri"/>
          <w:sz w:val="22"/>
          <w:szCs w:val="22"/>
        </w:rPr>
        <w:t>When domestic investors are the marginal buyer, markets are less hostage to hot foreign money and the boom</w:t>
      </w:r>
      <w:r w:rsidRPr="005C0A35">
        <w:rPr>
          <w:rFonts w:cs="Calibri"/>
          <w:sz w:val="22"/>
          <w:szCs w:val="22"/>
        </w:rPr>
        <w:noBreakHyphen/>
        <w:t>bust cycles that defined prior eras. Consider India: since 2015, regulatory reform and scaled systematic plans have created steady equity inflows from state plans and retail investors, providing a bid even when foreign flows turn cautious. Brazil offers a different path to the same destination as fintech</w:t>
      </w:r>
      <w:r w:rsidRPr="005C0A35">
        <w:rPr>
          <w:rFonts w:cs="Calibri"/>
          <w:sz w:val="22"/>
          <w:szCs w:val="22"/>
        </w:rPr>
        <w:noBreakHyphen/>
        <w:t>enabled access brings tens of millions into formal investing.</w:t>
      </w:r>
      <w:r w:rsidRPr="00134513">
        <w:rPr>
          <w:rFonts w:cs="Calibri"/>
          <w:sz w:val="22"/>
          <w:szCs w:val="22"/>
        </w:rPr>
        <w:br/>
      </w:r>
      <w:r w:rsidRPr="00134513">
        <w:rPr>
          <w:rFonts w:cs="Calibri"/>
          <w:sz w:val="22"/>
          <w:szCs w:val="22"/>
        </w:rPr>
        <w:br/>
      </w:r>
      <w:r w:rsidRPr="005C0A35">
        <w:rPr>
          <w:rFonts w:cs="Calibri"/>
          <w:b/>
          <w:bCs/>
          <w:sz w:val="22"/>
          <w:szCs w:val="22"/>
        </w:rPr>
        <w:t>Volatility is converging</w:t>
      </w:r>
      <w:r w:rsidR="00134513">
        <w:rPr>
          <w:rFonts w:cs="Calibri"/>
          <w:b/>
          <w:bCs/>
          <w:sz w:val="22"/>
          <w:szCs w:val="22"/>
        </w:rPr>
        <w:t xml:space="preserve"> </w:t>
      </w:r>
      <w:r w:rsidRPr="005C0A35">
        <w:rPr>
          <w:rFonts w:cs="Calibri"/>
          <w:b/>
          <w:bCs/>
          <w:sz w:val="22"/>
          <w:szCs w:val="22"/>
        </w:rPr>
        <w:t>by design, not luck</w:t>
      </w:r>
      <w:r w:rsidRPr="00134513">
        <w:rPr>
          <w:rFonts w:cs="Calibri"/>
          <w:sz w:val="22"/>
          <w:szCs w:val="22"/>
        </w:rPr>
        <w:br/>
      </w:r>
      <w:r w:rsidRPr="005C0A35">
        <w:rPr>
          <w:rFonts w:cs="Calibri"/>
          <w:sz w:val="22"/>
          <w:szCs w:val="22"/>
        </w:rPr>
        <w:t xml:space="preserve">One result of these structural shifts: EM equity volatility has converged toward DM levels over the past decade. Some of that reflects where crises actually originated this century (the GFC, </w:t>
      </w:r>
      <w:r w:rsidR="00737DF3">
        <w:rPr>
          <w:rFonts w:cs="Calibri"/>
          <w:sz w:val="22"/>
          <w:szCs w:val="22"/>
        </w:rPr>
        <w:t>e</w:t>
      </w:r>
      <w:r w:rsidRPr="005C0A35">
        <w:rPr>
          <w:rFonts w:cs="Calibri"/>
          <w:sz w:val="22"/>
          <w:szCs w:val="22"/>
        </w:rPr>
        <w:t xml:space="preserve">urozone debt and recent idiosyncratic bank failures in advanced economies). </w:t>
      </w:r>
      <w:r w:rsidR="00134513">
        <w:rPr>
          <w:rFonts w:cs="Calibri"/>
          <w:sz w:val="22"/>
          <w:szCs w:val="22"/>
        </w:rPr>
        <w:t>M</w:t>
      </w:r>
      <w:r w:rsidRPr="005C0A35">
        <w:rPr>
          <w:rFonts w:cs="Calibri"/>
          <w:sz w:val="22"/>
          <w:szCs w:val="22"/>
        </w:rPr>
        <w:t>uch of it is endogenous</w:t>
      </w:r>
      <w:r w:rsidR="00134513">
        <w:rPr>
          <w:rFonts w:cs="Calibri"/>
          <w:sz w:val="22"/>
          <w:szCs w:val="22"/>
        </w:rPr>
        <w:t>, driven by</w:t>
      </w:r>
      <w:r w:rsidRPr="005C0A35">
        <w:rPr>
          <w:rFonts w:cs="Calibri"/>
          <w:sz w:val="22"/>
          <w:szCs w:val="22"/>
        </w:rPr>
        <w:t xml:space="preserve"> deeper local savings, more credible policy frameworks, and real rates that reward prudence over leverage. </w:t>
      </w:r>
    </w:p>
    <w:p w14:paraId="19DFBD27" w14:textId="182BB33F" w:rsidR="005C0A35" w:rsidRDefault="005C0A35" w:rsidP="005C0A35">
      <w:pPr>
        <w:rPr>
          <w:rFonts w:cs="Calibri"/>
          <w:sz w:val="22"/>
          <w:szCs w:val="22"/>
        </w:rPr>
      </w:pPr>
      <w:r w:rsidRPr="00134513">
        <w:rPr>
          <w:rFonts w:cs="Calibri"/>
          <w:b/>
          <w:bCs/>
          <w:sz w:val="22"/>
          <w:szCs w:val="22"/>
        </w:rPr>
        <w:t>EM is a</w:t>
      </w:r>
      <w:r w:rsidRPr="005C0A35">
        <w:rPr>
          <w:rFonts w:cs="Calibri"/>
          <w:b/>
          <w:bCs/>
          <w:sz w:val="22"/>
          <w:szCs w:val="22"/>
        </w:rPr>
        <w:t xml:space="preserve"> mosaic, not a monolith</w:t>
      </w:r>
      <w:r w:rsidRPr="00134513">
        <w:rPr>
          <w:rFonts w:cs="Calibri"/>
          <w:sz w:val="22"/>
          <w:szCs w:val="22"/>
        </w:rPr>
        <w:br/>
      </w:r>
      <w:r w:rsidRPr="005C0A35">
        <w:rPr>
          <w:rFonts w:cs="Calibri"/>
          <w:sz w:val="22"/>
          <w:szCs w:val="22"/>
        </w:rPr>
        <w:t>If there’s one mistake investors still make, it’s treating EM as one story. China’s debt dynamics</w:t>
      </w:r>
      <w:r w:rsidR="00506D21">
        <w:rPr>
          <w:rFonts w:cs="Calibri"/>
          <w:sz w:val="22"/>
          <w:szCs w:val="22"/>
        </w:rPr>
        <w:t xml:space="preserve"> </w:t>
      </w:r>
      <w:r w:rsidRPr="005C0A35">
        <w:rPr>
          <w:rFonts w:cs="Calibri"/>
          <w:sz w:val="22"/>
          <w:szCs w:val="22"/>
        </w:rPr>
        <w:t xml:space="preserve">rhyme with parts of the G7. India’s equity market is propelled by domestic flows and digital rails. Policy reform cycles in parts of Eastern Europe and the Gulf are opening new corridors of capital. Heterogeneity is the feature, not the flaw. It widens dispersion and, for active investors, expands the opportunity set. The implication is straightforward: avoid </w:t>
      </w:r>
      <w:r w:rsidR="00737DF3">
        <w:rPr>
          <w:rFonts w:cs="Calibri"/>
          <w:sz w:val="22"/>
          <w:szCs w:val="22"/>
        </w:rPr>
        <w:t>‘</w:t>
      </w:r>
      <w:r w:rsidRPr="005C0A35">
        <w:rPr>
          <w:rFonts w:cs="Calibri"/>
          <w:sz w:val="22"/>
          <w:szCs w:val="22"/>
        </w:rPr>
        <w:t>average EM</w:t>
      </w:r>
      <w:r w:rsidR="00737DF3">
        <w:rPr>
          <w:rFonts w:cs="Calibri"/>
          <w:sz w:val="22"/>
          <w:szCs w:val="22"/>
        </w:rPr>
        <w:t>’</w:t>
      </w:r>
      <w:r w:rsidRPr="005C0A35">
        <w:rPr>
          <w:rFonts w:cs="Calibri"/>
          <w:sz w:val="22"/>
          <w:szCs w:val="22"/>
        </w:rPr>
        <w:t xml:space="preserve"> exposure and </w:t>
      </w:r>
      <w:proofErr w:type="spellStart"/>
      <w:r w:rsidRPr="005C0A35">
        <w:rPr>
          <w:rFonts w:cs="Calibri"/>
          <w:sz w:val="22"/>
          <w:szCs w:val="22"/>
        </w:rPr>
        <w:t>favor</w:t>
      </w:r>
      <w:proofErr w:type="spellEnd"/>
      <w:r w:rsidRPr="005C0A35">
        <w:rPr>
          <w:rFonts w:cs="Calibri"/>
          <w:sz w:val="22"/>
          <w:szCs w:val="22"/>
        </w:rPr>
        <w:t xml:space="preserve"> selective, research</w:t>
      </w:r>
      <w:r w:rsidRPr="005C0A35">
        <w:rPr>
          <w:rFonts w:cs="Calibri"/>
          <w:sz w:val="22"/>
          <w:szCs w:val="22"/>
        </w:rPr>
        <w:noBreakHyphen/>
        <w:t>led allocation that differentiates among countries, sectors and companies.</w:t>
      </w:r>
      <w:r w:rsidRPr="00134513">
        <w:rPr>
          <w:rFonts w:cs="Calibri"/>
          <w:sz w:val="22"/>
          <w:szCs w:val="22"/>
        </w:rPr>
        <w:br/>
      </w:r>
      <w:r w:rsidRPr="00134513">
        <w:rPr>
          <w:rFonts w:cs="Calibri"/>
          <w:sz w:val="22"/>
          <w:szCs w:val="22"/>
        </w:rPr>
        <w:br/>
      </w:r>
      <w:r w:rsidRPr="005C0A35">
        <w:rPr>
          <w:rFonts w:cs="Calibri"/>
          <w:b/>
          <w:bCs/>
          <w:sz w:val="22"/>
          <w:szCs w:val="22"/>
        </w:rPr>
        <w:t>What to do now</w:t>
      </w:r>
      <w:r w:rsidRPr="00134513">
        <w:rPr>
          <w:rFonts w:cs="Calibri"/>
          <w:sz w:val="22"/>
          <w:szCs w:val="22"/>
        </w:rPr>
        <w:br/>
      </w:r>
      <w:r w:rsidRPr="005C0A35">
        <w:rPr>
          <w:rFonts w:cs="Calibri"/>
          <w:sz w:val="22"/>
          <w:szCs w:val="22"/>
        </w:rPr>
        <w:t>The cycle that began in late 2024 may be less spectacular but more enduring</w:t>
      </w:r>
      <w:r w:rsidR="00134513">
        <w:rPr>
          <w:rFonts w:cs="Calibri"/>
          <w:sz w:val="22"/>
          <w:szCs w:val="22"/>
        </w:rPr>
        <w:t xml:space="preserve"> </w:t>
      </w:r>
      <w:r w:rsidRPr="005C0A35">
        <w:rPr>
          <w:rFonts w:cs="Calibri"/>
          <w:sz w:val="22"/>
          <w:szCs w:val="22"/>
        </w:rPr>
        <w:t>because its drivers are broader and domestically anchored. Treat EM not as a tactical overlay but as a core, structural component of global equity allocations. In practice, that means prioriti</w:t>
      </w:r>
      <w:r w:rsidR="00A1749E">
        <w:rPr>
          <w:rFonts w:cs="Calibri"/>
          <w:sz w:val="22"/>
          <w:szCs w:val="22"/>
        </w:rPr>
        <w:t>z</w:t>
      </w:r>
      <w:r w:rsidRPr="005C0A35">
        <w:rPr>
          <w:rFonts w:cs="Calibri"/>
          <w:sz w:val="22"/>
          <w:szCs w:val="22"/>
        </w:rPr>
        <w:t>ing the innovation trinity where ecosystems are hard to replicate; calibrating country weights to policy flexibility and real</w:t>
      </w:r>
      <w:r w:rsidRPr="005C0A35">
        <w:rPr>
          <w:rFonts w:cs="Calibri"/>
          <w:sz w:val="22"/>
          <w:szCs w:val="22"/>
        </w:rPr>
        <w:noBreakHyphen/>
        <w:t>rate support; and acknowledging that deeper domestic ownership can dampen drawdowns and lengthen holding periods. Build positions for what EM is, not what it was.</w:t>
      </w:r>
      <w:r w:rsidRPr="00134513">
        <w:rPr>
          <w:rFonts w:cs="Calibri"/>
          <w:sz w:val="22"/>
          <w:szCs w:val="22"/>
        </w:rPr>
        <w:t xml:space="preserve"> </w:t>
      </w:r>
    </w:p>
    <w:p w14:paraId="0994D6B0" w14:textId="77777777" w:rsidR="00DF4DFA" w:rsidRDefault="00DF4DFA" w:rsidP="005C0A35">
      <w:pPr>
        <w:rPr>
          <w:rFonts w:cs="Calibri"/>
          <w:sz w:val="22"/>
          <w:szCs w:val="22"/>
        </w:rPr>
      </w:pPr>
    </w:p>
    <w:p w14:paraId="11FDD310" w14:textId="5DFAAD09" w:rsidR="00B83208" w:rsidRPr="00B83208" w:rsidRDefault="00581406" w:rsidP="005C0A35">
      <w:pPr>
        <w:rPr>
          <w:rFonts w:cs="Calibri"/>
          <w:b/>
          <w:bCs/>
          <w:sz w:val="22"/>
          <w:szCs w:val="22"/>
        </w:rPr>
      </w:pPr>
      <w:hyperlink r:id="rId9" w:history="1">
        <w:r w:rsidR="00B83208" w:rsidRPr="00581406">
          <w:rPr>
            <w:rStyle w:val="Hyperlink"/>
            <w:rFonts w:cs="Calibri"/>
            <w:b/>
            <w:bCs/>
            <w:sz w:val="22"/>
            <w:szCs w:val="22"/>
          </w:rPr>
          <w:t>Find out more &gt;</w:t>
        </w:r>
      </w:hyperlink>
    </w:p>
    <w:p w14:paraId="385D0AE2" w14:textId="2C3567B6" w:rsidR="00617AE3" w:rsidRDefault="005C0A35">
      <w:pPr>
        <w:rPr>
          <w:rFonts w:cs="Calibri"/>
          <w:sz w:val="22"/>
          <w:szCs w:val="22"/>
        </w:rPr>
      </w:pPr>
      <w:r w:rsidRPr="005C0A35">
        <w:rPr>
          <w:rFonts w:cs="Calibri"/>
          <w:sz w:val="22"/>
          <w:szCs w:val="22"/>
        </w:rPr>
        <w:t>Author note: Jan de Bruijn is a Client Portfolio Manager with the EM equities team. Views are his own.</w:t>
      </w:r>
    </w:p>
    <w:p w14:paraId="4404D72D" w14:textId="77777777" w:rsidR="00DF4DFA" w:rsidRDefault="00DF4DFA">
      <w:pPr>
        <w:rPr>
          <w:rFonts w:cs="Calibri"/>
          <w:b/>
          <w:bCs/>
          <w:sz w:val="22"/>
          <w:szCs w:val="22"/>
        </w:rPr>
      </w:pPr>
    </w:p>
    <w:p w14:paraId="3C3C8C60" w14:textId="1BF2932D" w:rsidR="00DF4DFA" w:rsidRPr="00DF4DFA" w:rsidRDefault="00DF4DFA">
      <w:pPr>
        <w:rPr>
          <w:rFonts w:cs="Calibri"/>
          <w:b/>
          <w:bCs/>
          <w:sz w:val="22"/>
          <w:szCs w:val="22"/>
        </w:rPr>
      </w:pPr>
      <w:r w:rsidRPr="00DF4DFA">
        <w:rPr>
          <w:rFonts w:cs="Calibri"/>
          <w:b/>
          <w:bCs/>
          <w:sz w:val="22"/>
          <w:szCs w:val="22"/>
        </w:rPr>
        <w:t xml:space="preserve">Important information. </w:t>
      </w:r>
    </w:p>
    <w:p w14:paraId="3D898B60" w14:textId="6FA4AFA0" w:rsidR="00B83208" w:rsidRDefault="00DF4DFA">
      <w:pPr>
        <w:rPr>
          <w:rFonts w:cs="Calibri"/>
          <w:sz w:val="22"/>
          <w:szCs w:val="22"/>
        </w:rPr>
      </w:pPr>
      <w:r w:rsidRPr="00DF4DFA">
        <w:rPr>
          <w:rFonts w:cs="Calibri"/>
          <w:sz w:val="22"/>
          <w:szCs w:val="22"/>
        </w:rPr>
        <w:t>Marketing communication for professional investors only. Capital at risk.</w:t>
      </w:r>
      <w:r>
        <w:rPr>
          <w:rFonts w:cs="Calibri"/>
          <w:sz w:val="22"/>
          <w:szCs w:val="22"/>
        </w:rPr>
        <w:t xml:space="preserve"> </w:t>
      </w:r>
      <w:r w:rsidRPr="00DF4DFA">
        <w:rPr>
          <w:rFonts w:cs="Calibri"/>
          <w:sz w:val="22"/>
          <w:szCs w:val="22"/>
        </w:rPr>
        <w:t xml:space="preserve">This information refers only to general information about Robeco Holding B.V. and/or its related, affiliated and </w:t>
      </w:r>
      <w:r w:rsidRPr="00DF4DFA">
        <w:rPr>
          <w:rFonts w:cs="Calibri"/>
          <w:sz w:val="22"/>
          <w:szCs w:val="22"/>
        </w:rPr>
        <w:lastRenderedPageBreak/>
        <w:t>subsidiary companies, (“Robeco”), Robeco's approach, strategies and capabilities. This is a marketing communication intended solely for professional investors, defined as investors qualifying as professional clients, who have requested to be treated as professional clients or who are authorized to receive such information under any applicable laws. Unless otherwise stated, the data and information reported is sourced from Robeco, is, to the best knowledge of Robeco, accurate at the time of publication and comes without any warranties of any kind. Any opinion expressed is solely Robeco’s opinion, it is not a factual statement, and is subject to change, and in no way constitutes investment advice. This document is intended only to provide an overview of Robeco's approach and strategies. It is not a substitute for a prospectus or any other legal document concerning any specific financial instrument. The data, information, and opinions contained herein do not constitute and, under no circumstances, may be construed as an offer or an invitation or a recommendation to make investments or divestments or a solicitation to buy, sell, or subscribe for financial instruments or as financial, legal, tax, or investment research advice or as an invitation or to make any other use of it. All rights relating to the information in this document are and will remain the property of Robeco. This material may not be copied or used with the public. No part of this document may be reproduced, or published in any form or by any means without Robeco's prior written permission. Robeco Institutional Asset Management B.V. has a license as manager of UCITS and AIFs of the Netherlands Authority for the Financial Markets in Amsterdam.</w:t>
      </w:r>
    </w:p>
    <w:p w14:paraId="0FFCB3E1" w14:textId="77777777" w:rsidR="00B83208" w:rsidRPr="00134513" w:rsidRDefault="00B83208">
      <w:pPr>
        <w:rPr>
          <w:rFonts w:cs="Calibri"/>
          <w:sz w:val="22"/>
          <w:szCs w:val="22"/>
        </w:rPr>
      </w:pPr>
    </w:p>
    <w:sectPr w:rsidR="00B83208" w:rsidRPr="00134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17C40"/>
    <w:multiLevelType w:val="multilevel"/>
    <w:tmpl w:val="E67A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C1E2F"/>
    <w:multiLevelType w:val="multilevel"/>
    <w:tmpl w:val="7222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943676">
    <w:abstractNumId w:val="0"/>
  </w:num>
  <w:num w:numId="2" w16cid:durableId="15114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E3"/>
    <w:rsid w:val="0005216F"/>
    <w:rsid w:val="000A20BE"/>
    <w:rsid w:val="000C1616"/>
    <w:rsid w:val="00123330"/>
    <w:rsid w:val="00134513"/>
    <w:rsid w:val="001F78D5"/>
    <w:rsid w:val="002672B1"/>
    <w:rsid w:val="0031793E"/>
    <w:rsid w:val="00480B6A"/>
    <w:rsid w:val="00506D21"/>
    <w:rsid w:val="00581406"/>
    <w:rsid w:val="0058412F"/>
    <w:rsid w:val="00593F94"/>
    <w:rsid w:val="005C0A35"/>
    <w:rsid w:val="00617AE3"/>
    <w:rsid w:val="00650EEC"/>
    <w:rsid w:val="0065647E"/>
    <w:rsid w:val="00665F44"/>
    <w:rsid w:val="006C4D62"/>
    <w:rsid w:val="006E2222"/>
    <w:rsid w:val="00711EC5"/>
    <w:rsid w:val="00737DF3"/>
    <w:rsid w:val="00842D1F"/>
    <w:rsid w:val="00860444"/>
    <w:rsid w:val="008839EE"/>
    <w:rsid w:val="008C1B78"/>
    <w:rsid w:val="0091189D"/>
    <w:rsid w:val="009F1E4E"/>
    <w:rsid w:val="00A1749E"/>
    <w:rsid w:val="00AB2CB3"/>
    <w:rsid w:val="00B83208"/>
    <w:rsid w:val="00BA318E"/>
    <w:rsid w:val="00C90B7A"/>
    <w:rsid w:val="00DF4DFA"/>
    <w:rsid w:val="00E33114"/>
    <w:rsid w:val="00EE5412"/>
    <w:rsid w:val="00FD15E9"/>
    <w:rsid w:val="00FD76C8"/>
    <w:rsid w:val="00FE0B10"/>
    <w:rsid w:val="00FE558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9983"/>
  <w15:chartTrackingRefBased/>
  <w15:docId w15:val="{709734EB-DF33-47B6-BE8F-AEA635BC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AE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17AE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17AE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17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AE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17AE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17AE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17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AE3"/>
    <w:rPr>
      <w:rFonts w:eastAsiaTheme="majorEastAsia" w:cstheme="majorBidi"/>
      <w:color w:val="272727" w:themeColor="text1" w:themeTint="D8"/>
    </w:rPr>
  </w:style>
  <w:style w:type="paragraph" w:styleId="Title">
    <w:name w:val="Title"/>
    <w:basedOn w:val="Normal"/>
    <w:next w:val="Normal"/>
    <w:link w:val="TitleChar"/>
    <w:uiPriority w:val="10"/>
    <w:qFormat/>
    <w:rsid w:val="00617AE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17AE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17AE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17AE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17AE3"/>
    <w:pPr>
      <w:spacing w:before="160"/>
      <w:jc w:val="center"/>
    </w:pPr>
    <w:rPr>
      <w:i/>
      <w:iCs/>
      <w:color w:val="404040" w:themeColor="text1" w:themeTint="BF"/>
    </w:rPr>
  </w:style>
  <w:style w:type="character" w:customStyle="1" w:styleId="QuoteChar">
    <w:name w:val="Quote Char"/>
    <w:basedOn w:val="DefaultParagraphFont"/>
    <w:link w:val="Quote"/>
    <w:uiPriority w:val="29"/>
    <w:rsid w:val="00617AE3"/>
    <w:rPr>
      <w:i/>
      <w:iCs/>
      <w:color w:val="404040" w:themeColor="text1" w:themeTint="BF"/>
    </w:rPr>
  </w:style>
  <w:style w:type="paragraph" w:styleId="ListParagraph">
    <w:name w:val="List Paragraph"/>
    <w:basedOn w:val="Normal"/>
    <w:uiPriority w:val="34"/>
    <w:qFormat/>
    <w:rsid w:val="00617AE3"/>
    <w:pPr>
      <w:ind w:left="720"/>
      <w:contextualSpacing/>
    </w:pPr>
  </w:style>
  <w:style w:type="character" w:styleId="IntenseEmphasis">
    <w:name w:val="Intense Emphasis"/>
    <w:basedOn w:val="DefaultParagraphFont"/>
    <w:uiPriority w:val="21"/>
    <w:qFormat/>
    <w:rsid w:val="00617AE3"/>
    <w:rPr>
      <w:i/>
      <w:iCs/>
      <w:color w:val="0F4761" w:themeColor="accent1" w:themeShade="BF"/>
    </w:rPr>
  </w:style>
  <w:style w:type="paragraph" w:styleId="IntenseQuote">
    <w:name w:val="Intense Quote"/>
    <w:basedOn w:val="Normal"/>
    <w:next w:val="Normal"/>
    <w:link w:val="IntenseQuoteChar"/>
    <w:uiPriority w:val="30"/>
    <w:qFormat/>
    <w:rsid w:val="00617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AE3"/>
    <w:rPr>
      <w:i/>
      <w:iCs/>
      <w:color w:val="0F4761" w:themeColor="accent1" w:themeShade="BF"/>
    </w:rPr>
  </w:style>
  <w:style w:type="character" w:styleId="IntenseReference">
    <w:name w:val="Intense Reference"/>
    <w:basedOn w:val="DefaultParagraphFont"/>
    <w:uiPriority w:val="32"/>
    <w:qFormat/>
    <w:rsid w:val="00617AE3"/>
    <w:rPr>
      <w:b/>
      <w:bCs/>
      <w:smallCaps/>
      <w:color w:val="0F4761" w:themeColor="accent1" w:themeShade="BF"/>
      <w:spacing w:val="5"/>
    </w:rPr>
  </w:style>
  <w:style w:type="character" w:styleId="Hyperlink">
    <w:name w:val="Hyperlink"/>
    <w:basedOn w:val="DefaultParagraphFont"/>
    <w:uiPriority w:val="99"/>
    <w:unhideWhenUsed/>
    <w:rsid w:val="00FD76C8"/>
    <w:rPr>
      <w:color w:val="467886" w:themeColor="hyperlink"/>
      <w:u w:val="single"/>
    </w:rPr>
  </w:style>
  <w:style w:type="character" w:styleId="UnresolvedMention">
    <w:name w:val="Unresolved Mention"/>
    <w:basedOn w:val="DefaultParagraphFont"/>
    <w:uiPriority w:val="99"/>
    <w:semiHidden/>
    <w:unhideWhenUsed/>
    <w:rsid w:val="00FD76C8"/>
    <w:rPr>
      <w:color w:val="605E5C"/>
      <w:shd w:val="clear" w:color="auto" w:fill="E1DFDD"/>
    </w:rPr>
  </w:style>
  <w:style w:type="paragraph" w:styleId="Revision">
    <w:name w:val="Revision"/>
    <w:hidden/>
    <w:uiPriority w:val="99"/>
    <w:semiHidden/>
    <w:rsid w:val="00737D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robeco.com/en-int/emerging-markets-equ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3E3CEAA7A034189EBE19A8F6F2E83" ma:contentTypeVersion="27" ma:contentTypeDescription="Create a new document." ma:contentTypeScope="" ma:versionID="3c60f4b09521937c29afc2cd8a98f7d8">
  <xsd:schema xmlns:xsd="http://www.w3.org/2001/XMLSchema" xmlns:xs="http://www.w3.org/2001/XMLSchema" xmlns:p="http://schemas.microsoft.com/office/2006/metadata/properties" xmlns:ns2="ce0c2ff3-a928-45cb-bc2c-041d32d5bb4c" xmlns:ns3="534362a4-4147-4f2e-849b-3885f6897121" xmlns:ns4="e85da3cd-f8c0-4177-9d4b-29f4f21e59fa" targetNamespace="http://schemas.microsoft.com/office/2006/metadata/properties" ma:root="true" ma:fieldsID="2bb0aeee01a5c50d5fed8d373de1cfd7" ns2:_="" ns3:_="" ns4:_="">
    <xsd:import namespace="ce0c2ff3-a928-45cb-bc2c-041d32d5bb4c"/>
    <xsd:import namespace="534362a4-4147-4f2e-849b-3885f6897121"/>
    <xsd:import namespace="e85da3cd-f8c0-4177-9d4b-29f4f21e59fa"/>
    <xsd:element name="properties">
      <xsd:complexType>
        <xsd:sequence>
          <xsd:element name="documentManagement">
            <xsd:complexType>
              <xsd:all>
                <xsd:element ref="ns2:Approval" minOccurs="0"/>
                <xsd:element ref="ns2:Approval_Log" minOccurs="0"/>
                <xsd:element ref="ns3:_dlc_DocId" minOccurs="0"/>
                <xsd:element ref="ns3:_dlc_DocIdUrl" minOccurs="0"/>
                <xsd:element ref="ns3:_dlc_DocIdPersist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Approvalstatus" minOccurs="0"/>
                <xsd:element ref="ns2:MediaServiceObjectDetectorVersions" minOccurs="0"/>
                <xsd:element ref="ns2:MediaServiceSearchProperties" minOccurs="0"/>
                <xsd:element ref="ns2:_Flow_SignoffStatus" minOccurs="0"/>
                <xsd:element ref="ns2:Approv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2ff3-a928-45cb-bc2c-041d32d5bb4c" elementFormDefault="qualified">
    <xsd:import namespace="http://schemas.microsoft.com/office/2006/documentManagement/types"/>
    <xsd:import namespace="http://schemas.microsoft.com/office/infopath/2007/PartnerControls"/>
    <xsd:element name="Approval" ma:index="3" nillable="true" ma:displayName="Start" ma:internalName="Approval">
      <xsd:simpleType>
        <xsd:restriction base="dms:Text">
          <xsd:maxLength value="255"/>
        </xsd:restriction>
      </xsd:simpleType>
    </xsd:element>
    <xsd:element name="Approval_Log" ma:index="4" nillable="true" ma:displayName="Info" ma:internalName="Approval_Log"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07909b-dcf9-4792-9704-79f141f3a661"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dexed="true" ma:internalName="MediaServiceLocation" ma:readOnly="true">
      <xsd:simpleType>
        <xsd:restriction base="dms:Text"/>
      </xsd:simpleType>
    </xsd:element>
    <xsd:element name="Approvalstatus" ma:index="27" nillable="true" ma:displayName="Status" ma:default="New" ma:description="Approval status" ma:format="Dropdown" ma:hidden="true" ma:indexed="true" ma:internalName="Approvalstatus" ma:readOnly="false">
      <xsd:simpleType>
        <xsd:restriction base="dms:Choice">
          <xsd:enumeration value="New"/>
          <xsd:enumeration value="Approved"/>
          <xsd:enumeration value="Pending"/>
          <xsd:enumeration value="Reject"/>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Approvedby" ma:index="33" nillable="true" ma:displayName="Approved by" ma:description="the person who has approved the document" ma:format="Dropdown" ma:list="UserInfo" ma:SharePointGroup="0" ma:internalName="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362a4-4147-4f2e-849b-3885f68971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5da3cd-f8c0-4177-9d4b-29f4f21e59fa"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dd7adc29-278b-4fb9-8bb6-fe417c965d21}" ma:internalName="TaxCatchAll" ma:readOnly="false" ma:showField="CatchAllData" ma:web="e85da3cd-f8c0-4177-9d4b-29f4f21e5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007909b-dcf9-4792-9704-79f141f3a661"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by xmlns="ce0c2ff3-a928-45cb-bc2c-041d32d5bb4c">
      <UserInfo>
        <DisplayName/>
        <AccountId xsi:nil="true"/>
        <AccountType/>
      </UserInfo>
    </Approvedby>
    <Approval_Log xmlns="ce0c2ff3-a928-45cb-bc2c-041d32d5bb4c" xsi:nil="true"/>
    <lcf76f155ced4ddcb4097134ff3c332f xmlns="ce0c2ff3-a928-45cb-bc2c-041d32d5bb4c">
      <Terms xmlns="http://schemas.microsoft.com/office/infopath/2007/PartnerControls"/>
    </lcf76f155ced4ddcb4097134ff3c332f>
    <_dlc_DocIdUrl xmlns="534362a4-4147-4f2e-849b-3885f6897121">
      <Url xsi:nil="true"/>
      <Description xsi:nil="true"/>
    </_dlc_DocIdUrl>
    <Approvalstatus xmlns="ce0c2ff3-a928-45cb-bc2c-041d32d5bb4c">New</Approvalstatus>
    <Approval xmlns="ce0c2ff3-a928-45cb-bc2c-041d32d5bb4c" xsi:nil="true"/>
    <_dlc_DocId xmlns="534362a4-4147-4f2e-849b-3885f6897121" xsi:nil="true"/>
    <TaxCatchAll xmlns="e85da3cd-f8c0-4177-9d4b-29f4f21e59fa" xsi:nil="true"/>
    <_dlc_DocIdPersistId xmlns="534362a4-4147-4f2e-849b-3885f6897121" xsi:nil="true"/>
    <_Flow_SignoffStatus xmlns="ce0c2ff3-a928-45cb-bc2c-041d32d5bb4c" xsi:nil="true"/>
  </documentManagement>
</p:properties>
</file>

<file path=customXml/itemProps1.xml><?xml version="1.0" encoding="utf-8"?>
<ds:datastoreItem xmlns:ds="http://schemas.openxmlformats.org/officeDocument/2006/customXml" ds:itemID="{BE96689B-9D2F-498C-8D67-267E922D0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2ff3-a928-45cb-bc2c-041d32d5bb4c"/>
    <ds:schemaRef ds:uri="534362a4-4147-4f2e-849b-3885f6897121"/>
    <ds:schemaRef ds:uri="e85da3cd-f8c0-4177-9d4b-29f4f21e5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7EEA9-315B-4E4B-91CA-FCE1C7015BF9}">
  <ds:schemaRefs>
    <ds:schemaRef ds:uri="Microsoft.SharePoint.Taxonomy.ContentTypeSync"/>
  </ds:schemaRefs>
</ds:datastoreItem>
</file>

<file path=customXml/itemProps3.xml><?xml version="1.0" encoding="utf-8"?>
<ds:datastoreItem xmlns:ds="http://schemas.openxmlformats.org/officeDocument/2006/customXml" ds:itemID="{2FF8667D-F253-49D6-873C-BC796B2C7E0E}">
  <ds:schemaRefs>
    <ds:schemaRef ds:uri="http://schemas.microsoft.com/sharepoint/v3/contenttype/forms"/>
  </ds:schemaRefs>
</ds:datastoreItem>
</file>

<file path=customXml/itemProps4.xml><?xml version="1.0" encoding="utf-8"?>
<ds:datastoreItem xmlns:ds="http://schemas.openxmlformats.org/officeDocument/2006/customXml" ds:itemID="{4B68D8BD-0829-41D6-BCA9-A0F3AC17392B}">
  <ds:schemaRefs>
    <ds:schemaRef ds:uri="http://schemas.microsoft.com/office/2006/metadata/properties"/>
    <ds:schemaRef ds:uri="http://schemas.microsoft.com/office/infopath/2007/PartnerControls"/>
    <ds:schemaRef ds:uri="ce0c2ff3-a928-45cb-bc2c-041d32d5bb4c"/>
    <ds:schemaRef ds:uri="534362a4-4147-4f2e-849b-3885f6897121"/>
    <ds:schemaRef ds:uri="e85da3cd-f8c0-4177-9d4b-29f4f21e59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Hart, Marlot</dc:creator>
  <cp:keywords/>
  <dc:description/>
  <cp:lastModifiedBy>Sophie Powell</cp:lastModifiedBy>
  <cp:revision>5</cp:revision>
  <dcterms:created xsi:type="dcterms:W3CDTF">2026-05-06T08:59:00Z</dcterms:created>
  <dcterms:modified xsi:type="dcterms:W3CDTF">2026-06-16T09:22:00Z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da07a6-bb6b-4ce3-8ae9-d00fb5800c48_Enabled">
    <vt:lpwstr>true</vt:lpwstr>
  </property>
  <property fmtid="{D5CDD505-2E9C-101B-9397-08002B2CF9AE}" pid="3" name="MSIP_Label_04da07a6-bb6b-4ce3-8ae9-d00fb5800c48_SetDate">
    <vt:lpwstr>2026-02-26T05:53:11Z</vt:lpwstr>
  </property>
  <property fmtid="{D5CDD505-2E9C-101B-9397-08002B2CF9AE}" pid="4" name="MSIP_Label_04da07a6-bb6b-4ce3-8ae9-d00fb5800c48_Method">
    <vt:lpwstr>Standard</vt:lpwstr>
  </property>
  <property fmtid="{D5CDD505-2E9C-101B-9397-08002B2CF9AE}" pid="5" name="MSIP_Label_04da07a6-bb6b-4ce3-8ae9-d00fb5800c48_Name">
    <vt:lpwstr>04da07a6-bb6b-4ce3-8ae9-d00fb5800c48</vt:lpwstr>
  </property>
  <property fmtid="{D5CDD505-2E9C-101B-9397-08002B2CF9AE}" pid="6" name="MSIP_Label_04da07a6-bb6b-4ce3-8ae9-d00fb5800c48_SiteId">
    <vt:lpwstr>71dd74e2-a620-4a8e-9ac4-a19e1ff9ddff</vt:lpwstr>
  </property>
  <property fmtid="{D5CDD505-2E9C-101B-9397-08002B2CF9AE}" pid="7" name="MSIP_Label_04da07a6-bb6b-4ce3-8ae9-d00fb5800c48_ActionId">
    <vt:lpwstr>bc34e6e9-a7e6-426a-89b2-8c0228700016</vt:lpwstr>
  </property>
  <property fmtid="{D5CDD505-2E9C-101B-9397-08002B2CF9AE}" pid="8" name="MSIP_Label_04da07a6-bb6b-4ce3-8ae9-d00fb5800c48_ContentBits">
    <vt:lpwstr>0</vt:lpwstr>
  </property>
  <property fmtid="{D5CDD505-2E9C-101B-9397-08002B2CF9AE}" pid="9" name="MSIP_Label_04da07a6-bb6b-4ce3-8ae9-d00fb5800c48_Tag">
    <vt:lpwstr>10, 3, 0, 1</vt:lpwstr>
  </property>
  <property fmtid="{D5CDD505-2E9C-101B-9397-08002B2CF9AE}" pid="10" name="ContentTypeId">
    <vt:lpwstr>0x01010044F3E3CEAA7A034189EBE19A8F6F2E83</vt:lpwstr>
  </property>
  <property fmtid="{D5CDD505-2E9C-101B-9397-08002B2CF9AE}" pid="11" name="docLang">
    <vt:lpwstr>en</vt:lpwstr>
  </property>
  <property fmtid="{D5CDD505-2E9C-101B-9397-08002B2CF9AE}" pid="12" name="MediaServiceImageTags">
    <vt:lpwstr/>
  </property>
</Properties>
</file>