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03E89" w14:textId="77777777" w:rsidR="00DB0C02" w:rsidRDefault="00940825" w:rsidP="00DB0C02">
      <w:pPr>
        <w:jc w:val="both"/>
        <w:rPr>
          <w:b/>
          <w:bCs/>
          <w:color w:val="00B0F0"/>
          <w:sz w:val="72"/>
          <w:szCs w:val="72"/>
        </w:rPr>
      </w:pPr>
      <w:r w:rsidRPr="00991B12">
        <w:rPr>
          <w:rFonts w:ascii="Tahoma" w:hAnsi="Tahoma" w:cs="Tahoma"/>
          <w:noProof/>
          <w:szCs w:val="22"/>
        </w:rPr>
        <w:drawing>
          <wp:anchor distT="0" distB="0" distL="114300" distR="114300" simplePos="0" relativeHeight="251659264" behindDoc="0" locked="0" layoutInCell="1" allowOverlap="1" wp14:anchorId="65AF075D" wp14:editId="4BE3D327">
            <wp:simplePos x="0" y="0"/>
            <wp:positionH relativeFrom="page">
              <wp:align>right</wp:align>
            </wp:positionH>
            <wp:positionV relativeFrom="page">
              <wp:posOffset>-28575</wp:posOffset>
            </wp:positionV>
            <wp:extent cx="7772400" cy="501015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72400" cy="5010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D75682" w14:textId="56B0EC8D" w:rsidR="00DB0C02" w:rsidRPr="00385FD2" w:rsidRDefault="00DB0C02" w:rsidP="00DB0C02">
      <w:pPr>
        <w:rPr>
          <w:rFonts w:cstheme="minorHAnsi"/>
          <w:b/>
          <w:bCs/>
          <w:color w:val="0094C8"/>
          <w:sz w:val="52"/>
          <w:szCs w:val="52"/>
        </w:rPr>
      </w:pPr>
      <w:r w:rsidRPr="00385FD2">
        <w:rPr>
          <w:rFonts w:cstheme="minorHAnsi"/>
          <w:b/>
          <w:bCs/>
          <w:color w:val="0094C8"/>
          <w:sz w:val="52"/>
          <w:szCs w:val="52"/>
        </w:rPr>
        <w:t>Save the planet.</w:t>
      </w:r>
    </w:p>
    <w:p w14:paraId="3157C51A" w14:textId="5C6FD362" w:rsidR="00DB0C02" w:rsidRPr="00385FD2" w:rsidRDefault="00DB0C02" w:rsidP="00DB0C02">
      <w:pPr>
        <w:rPr>
          <w:rFonts w:cstheme="minorHAnsi"/>
          <w:b/>
          <w:bCs/>
          <w:color w:val="0094C8"/>
          <w:sz w:val="52"/>
          <w:szCs w:val="52"/>
        </w:rPr>
      </w:pPr>
      <w:r w:rsidRPr="00385FD2">
        <w:rPr>
          <w:rFonts w:cstheme="minorHAnsi"/>
          <w:b/>
          <w:bCs/>
          <w:color w:val="0094C8"/>
          <w:sz w:val="52"/>
          <w:szCs w:val="52"/>
        </w:rPr>
        <w:t xml:space="preserve">Invest (responsibly) in property. </w:t>
      </w:r>
    </w:p>
    <w:p w14:paraId="0F313670" w14:textId="77777777" w:rsidR="00DB0C02" w:rsidRDefault="00DB0C02" w:rsidP="00DB0C02"/>
    <w:p w14:paraId="6E021ECE" w14:textId="172889ED" w:rsidR="00DB0C02" w:rsidRDefault="00DB0C02" w:rsidP="00DB0C02">
      <w:pPr>
        <w:rPr>
          <w:rFonts w:asciiTheme="minorHAnsi" w:hAnsiTheme="minorHAnsi" w:cstheme="minorHAnsi"/>
          <w:szCs w:val="22"/>
        </w:rPr>
      </w:pPr>
      <w:r w:rsidRPr="00DB0C02">
        <w:rPr>
          <w:rFonts w:asciiTheme="minorHAnsi" w:hAnsiTheme="minorHAnsi" w:cstheme="minorHAnsi"/>
          <w:szCs w:val="22"/>
        </w:rPr>
        <w:t>Long term investing in real estate has long been recognised as providing an important role in diversifying risk in a multi-asset portfolio</w:t>
      </w:r>
      <w:r w:rsidR="000363C9">
        <w:rPr>
          <w:rFonts w:asciiTheme="minorHAnsi" w:hAnsiTheme="minorHAnsi" w:cstheme="minorHAnsi"/>
          <w:szCs w:val="22"/>
        </w:rPr>
        <w:t xml:space="preserve"> – not only does it offer </w:t>
      </w:r>
      <w:r w:rsidRPr="00DB0C02">
        <w:rPr>
          <w:rFonts w:asciiTheme="minorHAnsi" w:hAnsiTheme="minorHAnsi" w:cstheme="minorHAnsi"/>
          <w:szCs w:val="22"/>
        </w:rPr>
        <w:t>an attractive level of income but also a degree of inflation hedging. Real estate is a very different asset to Equit</w:t>
      </w:r>
      <w:r w:rsidR="000363C9">
        <w:rPr>
          <w:rFonts w:asciiTheme="minorHAnsi" w:hAnsiTheme="minorHAnsi" w:cstheme="minorHAnsi"/>
          <w:szCs w:val="22"/>
        </w:rPr>
        <w:t>i</w:t>
      </w:r>
      <w:r w:rsidRPr="00DB0C02">
        <w:rPr>
          <w:rFonts w:asciiTheme="minorHAnsi" w:hAnsiTheme="minorHAnsi" w:cstheme="minorHAnsi"/>
          <w:szCs w:val="22"/>
        </w:rPr>
        <w:t xml:space="preserve">es and Bonds because it is a physical asset underpinned by land value - as long as it is capable of being used for an economic purpose then it has an intrinsic worth.  If a tenant company goes bust, this may have a short term impact on </w:t>
      </w:r>
      <w:r w:rsidR="000363C9" w:rsidRPr="00DB0C02">
        <w:rPr>
          <w:rFonts w:asciiTheme="minorHAnsi" w:hAnsiTheme="minorHAnsi" w:cstheme="minorHAnsi"/>
          <w:szCs w:val="22"/>
        </w:rPr>
        <w:t>value,</w:t>
      </w:r>
      <w:r w:rsidRPr="00DB0C02">
        <w:rPr>
          <w:rFonts w:asciiTheme="minorHAnsi" w:hAnsiTheme="minorHAnsi" w:cstheme="minorHAnsi"/>
          <w:szCs w:val="22"/>
        </w:rPr>
        <w:t xml:space="preserve"> but this can be fixed by finding another occupier.</w:t>
      </w:r>
    </w:p>
    <w:p w14:paraId="7862F28C" w14:textId="77777777" w:rsidR="00DB0C02" w:rsidRPr="00DB0C02" w:rsidRDefault="00DB0C02" w:rsidP="00DB0C02">
      <w:pPr>
        <w:rPr>
          <w:rFonts w:asciiTheme="minorHAnsi" w:hAnsiTheme="minorHAnsi" w:cstheme="minorHAnsi"/>
          <w:szCs w:val="22"/>
        </w:rPr>
      </w:pPr>
    </w:p>
    <w:p w14:paraId="6264C6E9" w14:textId="5642FB91" w:rsidR="00DB0C02" w:rsidRDefault="00DB0C02" w:rsidP="00DB0C02">
      <w:pPr>
        <w:rPr>
          <w:rFonts w:asciiTheme="minorHAnsi" w:hAnsiTheme="minorHAnsi" w:cstheme="minorHAnsi"/>
          <w:szCs w:val="22"/>
        </w:rPr>
      </w:pPr>
      <w:r w:rsidRPr="00DB0C02">
        <w:rPr>
          <w:rFonts w:asciiTheme="minorHAnsi" w:hAnsiTheme="minorHAnsi" w:cstheme="minorHAnsi"/>
          <w:szCs w:val="22"/>
        </w:rPr>
        <w:t xml:space="preserve">Investors have understood this for years </w:t>
      </w:r>
      <w:r w:rsidR="000363C9">
        <w:rPr>
          <w:rFonts w:asciiTheme="minorHAnsi" w:hAnsiTheme="minorHAnsi" w:cstheme="minorHAnsi"/>
          <w:szCs w:val="22"/>
        </w:rPr>
        <w:t>however</w:t>
      </w:r>
      <w:r w:rsidRPr="00DB0C02">
        <w:rPr>
          <w:rFonts w:asciiTheme="minorHAnsi" w:hAnsiTheme="minorHAnsi" w:cstheme="minorHAnsi"/>
          <w:szCs w:val="22"/>
        </w:rPr>
        <w:t xml:space="preserve"> there has been increased investor interest in the sector post </w:t>
      </w:r>
      <w:r w:rsidR="000363C9">
        <w:rPr>
          <w:rFonts w:asciiTheme="minorHAnsi" w:hAnsiTheme="minorHAnsi" w:cstheme="minorHAnsi"/>
          <w:szCs w:val="22"/>
        </w:rPr>
        <w:t xml:space="preserve">global financial crisis </w:t>
      </w:r>
      <w:r w:rsidRPr="00DB0C02">
        <w:rPr>
          <w:rFonts w:asciiTheme="minorHAnsi" w:hAnsiTheme="minorHAnsi" w:cstheme="minorHAnsi"/>
          <w:szCs w:val="22"/>
        </w:rPr>
        <w:t xml:space="preserve">because the onset of </w:t>
      </w:r>
      <w:r w:rsidR="000363C9">
        <w:rPr>
          <w:rFonts w:asciiTheme="minorHAnsi" w:hAnsiTheme="minorHAnsi" w:cstheme="minorHAnsi"/>
          <w:szCs w:val="22"/>
        </w:rPr>
        <w:t>quantitative</w:t>
      </w:r>
      <w:r w:rsidR="00385FD2">
        <w:rPr>
          <w:rFonts w:asciiTheme="minorHAnsi" w:hAnsiTheme="minorHAnsi" w:cstheme="minorHAnsi"/>
          <w:szCs w:val="22"/>
        </w:rPr>
        <w:t xml:space="preserve"> easing</w:t>
      </w:r>
      <w:r w:rsidRPr="00DB0C02">
        <w:rPr>
          <w:rFonts w:asciiTheme="minorHAnsi" w:hAnsiTheme="minorHAnsi" w:cstheme="minorHAnsi"/>
          <w:szCs w:val="22"/>
        </w:rPr>
        <w:t xml:space="preserve"> has led to yields on all asset classes falling</w:t>
      </w:r>
      <w:r w:rsidR="00A86120">
        <w:rPr>
          <w:rFonts w:asciiTheme="minorHAnsi" w:hAnsiTheme="minorHAnsi" w:cstheme="minorHAnsi"/>
          <w:szCs w:val="22"/>
        </w:rPr>
        <w:t>. However</w:t>
      </w:r>
      <w:r w:rsidRPr="00DB0C02">
        <w:rPr>
          <w:rFonts w:asciiTheme="minorHAnsi" w:hAnsiTheme="minorHAnsi" w:cstheme="minorHAnsi"/>
          <w:szCs w:val="22"/>
        </w:rPr>
        <w:t xml:space="preserve"> real estate yields have not fallen at the same pace and so today, real estate offers an historically high yield premium relative to </w:t>
      </w:r>
      <w:r w:rsidR="00385FD2" w:rsidRPr="00DB0C02">
        <w:rPr>
          <w:rFonts w:asciiTheme="minorHAnsi" w:hAnsiTheme="minorHAnsi" w:cstheme="minorHAnsi"/>
          <w:szCs w:val="22"/>
        </w:rPr>
        <w:t>gilts</w:t>
      </w:r>
      <w:r w:rsidR="00A86120">
        <w:rPr>
          <w:rFonts w:asciiTheme="minorHAnsi" w:hAnsiTheme="minorHAnsi" w:cstheme="minorHAnsi"/>
          <w:szCs w:val="22"/>
        </w:rPr>
        <w:t>. T</w:t>
      </w:r>
      <w:r w:rsidR="00385FD2">
        <w:rPr>
          <w:rFonts w:asciiTheme="minorHAnsi" w:hAnsiTheme="minorHAnsi" w:cstheme="minorHAnsi"/>
          <w:szCs w:val="22"/>
        </w:rPr>
        <w:t>his can be seen in the chart below</w:t>
      </w:r>
      <w:r w:rsidRPr="00DB0C02">
        <w:rPr>
          <w:rFonts w:asciiTheme="minorHAnsi" w:hAnsiTheme="minorHAnsi" w:cstheme="minorHAnsi"/>
          <w:szCs w:val="22"/>
        </w:rPr>
        <w:t>.</w:t>
      </w:r>
    </w:p>
    <w:p w14:paraId="5B6741A9" w14:textId="234EE296" w:rsidR="000363C9" w:rsidRDefault="000363C9" w:rsidP="00DB0C02">
      <w:pPr>
        <w:rPr>
          <w:rFonts w:asciiTheme="minorHAnsi" w:hAnsiTheme="minorHAnsi" w:cstheme="minorHAnsi"/>
          <w:szCs w:val="22"/>
        </w:rPr>
      </w:pPr>
    </w:p>
    <w:p w14:paraId="24576771" w14:textId="48281073" w:rsidR="000363C9" w:rsidRDefault="000363C9" w:rsidP="00DB0C02">
      <w:pPr>
        <w:rPr>
          <w:rFonts w:asciiTheme="minorHAnsi" w:hAnsiTheme="minorHAnsi" w:cstheme="minorHAnsi"/>
          <w:szCs w:val="22"/>
        </w:rPr>
      </w:pPr>
    </w:p>
    <w:p w14:paraId="440BE0AC" w14:textId="16B6F89C" w:rsidR="000363C9" w:rsidRDefault="000363C9" w:rsidP="00DB0C02">
      <w:pPr>
        <w:rPr>
          <w:rFonts w:asciiTheme="minorHAnsi" w:hAnsiTheme="minorHAnsi" w:cstheme="minorHAnsi"/>
          <w:szCs w:val="22"/>
        </w:rPr>
      </w:pPr>
    </w:p>
    <w:p w14:paraId="046C2F26" w14:textId="45597A4E" w:rsidR="000363C9" w:rsidRDefault="000363C9" w:rsidP="00DB0C02">
      <w:pPr>
        <w:rPr>
          <w:rFonts w:asciiTheme="minorHAnsi" w:hAnsiTheme="minorHAnsi" w:cstheme="minorHAnsi"/>
          <w:szCs w:val="22"/>
        </w:rPr>
      </w:pPr>
    </w:p>
    <w:p w14:paraId="14B5D057" w14:textId="1E065075" w:rsidR="000363C9" w:rsidRDefault="000363C9" w:rsidP="00DB0C02">
      <w:pPr>
        <w:rPr>
          <w:rFonts w:asciiTheme="minorHAnsi" w:hAnsiTheme="minorHAnsi" w:cstheme="minorHAnsi"/>
          <w:szCs w:val="22"/>
        </w:rPr>
      </w:pPr>
    </w:p>
    <w:p w14:paraId="73494A7A" w14:textId="5DBB3071" w:rsidR="000363C9" w:rsidRDefault="000363C9" w:rsidP="00DB0C02">
      <w:pPr>
        <w:rPr>
          <w:rFonts w:asciiTheme="minorHAnsi" w:hAnsiTheme="minorHAnsi" w:cstheme="minorHAnsi"/>
          <w:szCs w:val="22"/>
        </w:rPr>
      </w:pPr>
    </w:p>
    <w:p w14:paraId="713E3E48" w14:textId="34CA3AC7" w:rsidR="000363C9" w:rsidRDefault="000363C9" w:rsidP="00DB0C02">
      <w:pPr>
        <w:rPr>
          <w:rFonts w:asciiTheme="minorHAnsi" w:hAnsiTheme="minorHAnsi" w:cstheme="minorHAnsi"/>
          <w:szCs w:val="22"/>
        </w:rPr>
      </w:pPr>
    </w:p>
    <w:p w14:paraId="4D3DA734" w14:textId="77777777" w:rsidR="00CB488E" w:rsidRDefault="00CB488E" w:rsidP="00DB0C02">
      <w:pPr>
        <w:rPr>
          <w:rFonts w:asciiTheme="minorHAnsi" w:hAnsiTheme="minorHAnsi" w:cstheme="minorHAnsi"/>
          <w:szCs w:val="22"/>
        </w:rPr>
      </w:pPr>
    </w:p>
    <w:p w14:paraId="1999542B" w14:textId="2206B44B" w:rsidR="000363C9" w:rsidRPr="00CB488E" w:rsidRDefault="00CB488E" w:rsidP="00DB0C02">
      <w:pPr>
        <w:rPr>
          <w:rFonts w:asciiTheme="minorHAnsi" w:hAnsiTheme="minorHAnsi" w:cstheme="minorHAnsi"/>
          <w:b/>
          <w:bCs/>
          <w:sz w:val="28"/>
          <w:szCs w:val="28"/>
        </w:rPr>
      </w:pPr>
      <w:r>
        <w:rPr>
          <w:noProof/>
        </w:rPr>
        <w:lastRenderedPageBreak/>
        <w:drawing>
          <wp:anchor distT="0" distB="0" distL="114300" distR="114300" simplePos="0" relativeHeight="251665408" behindDoc="0" locked="0" layoutInCell="1" allowOverlap="1" wp14:anchorId="1DD18938" wp14:editId="763F6E0B">
            <wp:simplePos x="0" y="0"/>
            <wp:positionH relativeFrom="margin">
              <wp:align>right</wp:align>
            </wp:positionH>
            <wp:positionV relativeFrom="paragraph">
              <wp:posOffset>368300</wp:posOffset>
            </wp:positionV>
            <wp:extent cx="5731510" cy="3397885"/>
            <wp:effectExtent l="0" t="0" r="2540" b="12065"/>
            <wp:wrapSquare wrapText="bothSides"/>
            <wp:docPr id="2" name="Chart 2">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margin">
              <wp14:pctWidth>0</wp14:pctWidth>
            </wp14:sizeRelH>
            <wp14:sizeRelV relativeFrom="margin">
              <wp14:pctHeight>0</wp14:pctHeight>
            </wp14:sizeRelV>
          </wp:anchor>
        </w:drawing>
      </w:r>
      <w:r w:rsidRPr="00CB488E">
        <w:rPr>
          <w:rFonts w:asciiTheme="minorHAnsi" w:hAnsiTheme="minorHAnsi" w:cstheme="minorHAnsi"/>
          <w:b/>
          <w:bCs/>
          <w:sz w:val="28"/>
          <w:szCs w:val="28"/>
        </w:rPr>
        <w:t xml:space="preserve">Property yield premium versus 10 year gilts </w:t>
      </w:r>
    </w:p>
    <w:p w14:paraId="2221507A" w14:textId="0D020857" w:rsidR="000363C9" w:rsidRPr="00DB0C02" w:rsidRDefault="000363C9" w:rsidP="00DB0C02">
      <w:pPr>
        <w:rPr>
          <w:rFonts w:asciiTheme="minorHAnsi" w:hAnsiTheme="minorHAnsi" w:cstheme="minorHAnsi"/>
          <w:szCs w:val="22"/>
        </w:rPr>
      </w:pPr>
    </w:p>
    <w:p w14:paraId="32BBC666" w14:textId="77777777" w:rsidR="000363C9" w:rsidRDefault="000363C9" w:rsidP="00DB0C02">
      <w:pPr>
        <w:rPr>
          <w:rFonts w:asciiTheme="minorHAnsi" w:hAnsiTheme="minorHAnsi" w:cstheme="minorHAnsi"/>
          <w:szCs w:val="22"/>
        </w:rPr>
      </w:pPr>
    </w:p>
    <w:p w14:paraId="7AC9B6A8" w14:textId="77777777" w:rsidR="00385FD2" w:rsidRDefault="00DB0C02" w:rsidP="00DB0C02">
      <w:pPr>
        <w:rPr>
          <w:rFonts w:asciiTheme="minorHAnsi" w:hAnsiTheme="minorHAnsi" w:cstheme="minorHAnsi"/>
          <w:szCs w:val="22"/>
        </w:rPr>
      </w:pPr>
      <w:r w:rsidRPr="00DB0C02">
        <w:rPr>
          <w:rFonts w:asciiTheme="minorHAnsi" w:hAnsiTheme="minorHAnsi" w:cstheme="minorHAnsi"/>
          <w:szCs w:val="22"/>
        </w:rPr>
        <w:t xml:space="preserve">In recent years however a more important issue has been gathering momentum which is not only the wider climate crisis and the various global efforts to slow down the pace of global warming, but also the extent to which the built environment is contributing to this crisis.  </w:t>
      </w:r>
    </w:p>
    <w:p w14:paraId="3D8BAF22" w14:textId="77777777" w:rsidR="00385FD2" w:rsidRDefault="00385FD2" w:rsidP="00CB488E">
      <w:pPr>
        <w:ind w:left="720"/>
        <w:rPr>
          <w:rFonts w:asciiTheme="minorHAnsi" w:hAnsiTheme="minorHAnsi" w:cstheme="minorHAnsi"/>
          <w:b/>
          <w:bCs/>
          <w:i/>
          <w:iCs/>
          <w:sz w:val="28"/>
          <w:szCs w:val="28"/>
        </w:rPr>
      </w:pPr>
    </w:p>
    <w:p w14:paraId="5E1964DC" w14:textId="56A5AFFB" w:rsidR="00385FD2" w:rsidRPr="00385FD2" w:rsidRDefault="00DB0C02" w:rsidP="00CB488E">
      <w:pPr>
        <w:ind w:left="720"/>
        <w:rPr>
          <w:rFonts w:asciiTheme="minorHAnsi" w:hAnsiTheme="minorHAnsi" w:cstheme="minorHAnsi"/>
          <w:b/>
          <w:bCs/>
          <w:i/>
          <w:iCs/>
          <w:color w:val="0094C8"/>
          <w:sz w:val="28"/>
          <w:szCs w:val="28"/>
        </w:rPr>
      </w:pPr>
      <w:r w:rsidRPr="00EE35B8">
        <w:rPr>
          <w:rFonts w:asciiTheme="minorHAnsi" w:hAnsiTheme="minorHAnsi" w:cstheme="minorHAnsi"/>
          <w:b/>
          <w:bCs/>
          <w:i/>
          <w:iCs/>
          <w:color w:val="0094C8"/>
          <w:sz w:val="28"/>
          <w:szCs w:val="28"/>
        </w:rPr>
        <w:t>Globally</w:t>
      </w:r>
      <w:r w:rsidRPr="00385FD2">
        <w:rPr>
          <w:rFonts w:asciiTheme="minorHAnsi" w:hAnsiTheme="minorHAnsi" w:cstheme="minorHAnsi"/>
          <w:b/>
          <w:bCs/>
          <w:i/>
          <w:iCs/>
          <w:color w:val="0094C8"/>
          <w:sz w:val="28"/>
          <w:szCs w:val="28"/>
        </w:rPr>
        <w:t xml:space="preserve"> it is estimated that real estate </w:t>
      </w:r>
      <w:r w:rsidR="00385FD2" w:rsidRPr="00385FD2">
        <w:rPr>
          <w:rFonts w:asciiTheme="minorHAnsi" w:hAnsiTheme="minorHAnsi" w:cstheme="minorHAnsi"/>
          <w:b/>
          <w:bCs/>
          <w:i/>
          <w:iCs/>
          <w:color w:val="0094C8"/>
          <w:sz w:val="28"/>
          <w:szCs w:val="28"/>
        </w:rPr>
        <w:t>-</w:t>
      </w:r>
      <w:r w:rsidRPr="00385FD2">
        <w:rPr>
          <w:rFonts w:asciiTheme="minorHAnsi" w:hAnsiTheme="minorHAnsi" w:cstheme="minorHAnsi"/>
          <w:b/>
          <w:bCs/>
          <w:i/>
          <w:iCs/>
          <w:color w:val="0094C8"/>
          <w:sz w:val="28"/>
          <w:szCs w:val="28"/>
        </w:rPr>
        <w:t xml:space="preserve"> commercial and residential </w:t>
      </w:r>
      <w:r w:rsidR="00385FD2" w:rsidRPr="00385FD2">
        <w:rPr>
          <w:rFonts w:asciiTheme="minorHAnsi" w:hAnsiTheme="minorHAnsi" w:cstheme="minorHAnsi"/>
          <w:b/>
          <w:bCs/>
          <w:i/>
          <w:iCs/>
          <w:color w:val="0094C8"/>
          <w:sz w:val="28"/>
          <w:szCs w:val="28"/>
        </w:rPr>
        <w:t>-</w:t>
      </w:r>
      <w:r w:rsidRPr="00385FD2">
        <w:rPr>
          <w:rFonts w:asciiTheme="minorHAnsi" w:hAnsiTheme="minorHAnsi" w:cstheme="minorHAnsi"/>
          <w:b/>
          <w:bCs/>
          <w:i/>
          <w:iCs/>
          <w:color w:val="0094C8"/>
          <w:sz w:val="28"/>
          <w:szCs w:val="28"/>
        </w:rPr>
        <w:t xml:space="preserve"> accounts for </w:t>
      </w:r>
      <w:r w:rsidR="00EE35B8">
        <w:rPr>
          <w:rFonts w:asciiTheme="minorHAnsi" w:hAnsiTheme="minorHAnsi" w:cstheme="minorHAnsi"/>
          <w:b/>
          <w:bCs/>
          <w:i/>
          <w:iCs/>
          <w:color w:val="0094C8"/>
          <w:sz w:val="28"/>
          <w:szCs w:val="28"/>
        </w:rPr>
        <w:t xml:space="preserve">c. </w:t>
      </w:r>
      <w:r w:rsidRPr="00385FD2">
        <w:rPr>
          <w:rFonts w:asciiTheme="minorHAnsi" w:hAnsiTheme="minorHAnsi" w:cstheme="minorHAnsi"/>
          <w:b/>
          <w:bCs/>
          <w:i/>
          <w:iCs/>
          <w:color w:val="0094C8"/>
          <w:sz w:val="28"/>
          <w:szCs w:val="28"/>
        </w:rPr>
        <w:t xml:space="preserve">40% of all greenhouse gas emissions.  </w:t>
      </w:r>
    </w:p>
    <w:p w14:paraId="7B8CB413" w14:textId="77777777" w:rsidR="00385FD2" w:rsidRPr="00385FD2" w:rsidRDefault="00385FD2" w:rsidP="00CB488E">
      <w:pPr>
        <w:ind w:left="720"/>
        <w:rPr>
          <w:rFonts w:asciiTheme="minorHAnsi" w:hAnsiTheme="minorHAnsi" w:cstheme="minorHAnsi"/>
          <w:color w:val="00B0F0"/>
          <w:szCs w:val="22"/>
        </w:rPr>
      </w:pPr>
    </w:p>
    <w:p w14:paraId="0BB849A5" w14:textId="2EB159E7" w:rsidR="00385FD2" w:rsidRPr="00385FD2" w:rsidRDefault="00DB0C02" w:rsidP="00CB488E">
      <w:pPr>
        <w:ind w:left="720"/>
        <w:rPr>
          <w:rFonts w:asciiTheme="minorHAnsi" w:hAnsiTheme="minorHAnsi" w:cstheme="minorHAnsi"/>
          <w:b/>
          <w:bCs/>
          <w:i/>
          <w:iCs/>
          <w:color w:val="0094C8"/>
          <w:sz w:val="28"/>
          <w:szCs w:val="28"/>
        </w:rPr>
      </w:pPr>
      <w:r w:rsidRPr="00385FD2">
        <w:rPr>
          <w:rFonts w:asciiTheme="minorHAnsi" w:hAnsiTheme="minorHAnsi" w:cstheme="minorHAnsi"/>
          <w:b/>
          <w:bCs/>
          <w:i/>
          <w:iCs/>
          <w:color w:val="0094C8"/>
          <w:sz w:val="28"/>
          <w:szCs w:val="28"/>
        </w:rPr>
        <w:t xml:space="preserve">Yet with the lifespan of a typical property measured in decades if not centuries, </w:t>
      </w:r>
      <w:r w:rsidR="00A86120">
        <w:rPr>
          <w:rFonts w:asciiTheme="minorHAnsi" w:hAnsiTheme="minorHAnsi" w:cstheme="minorHAnsi"/>
          <w:b/>
          <w:bCs/>
          <w:i/>
          <w:iCs/>
          <w:color w:val="0094C8"/>
          <w:sz w:val="28"/>
          <w:szCs w:val="28"/>
        </w:rPr>
        <w:t xml:space="preserve">this </w:t>
      </w:r>
      <w:r w:rsidRPr="00385FD2">
        <w:rPr>
          <w:rFonts w:asciiTheme="minorHAnsi" w:hAnsiTheme="minorHAnsi" w:cstheme="minorHAnsi"/>
          <w:b/>
          <w:bCs/>
          <w:i/>
          <w:iCs/>
          <w:color w:val="0094C8"/>
          <w:sz w:val="28"/>
          <w:szCs w:val="28"/>
        </w:rPr>
        <w:t xml:space="preserve">almost certainly </w:t>
      </w:r>
      <w:r w:rsidR="00A86120">
        <w:rPr>
          <w:rFonts w:asciiTheme="minorHAnsi" w:hAnsiTheme="minorHAnsi" w:cstheme="minorHAnsi"/>
          <w:b/>
          <w:bCs/>
          <w:i/>
          <w:iCs/>
          <w:color w:val="0094C8"/>
          <w:sz w:val="28"/>
          <w:szCs w:val="28"/>
        </w:rPr>
        <w:t>m</w:t>
      </w:r>
      <w:r w:rsidRPr="00385FD2">
        <w:rPr>
          <w:rFonts w:asciiTheme="minorHAnsi" w:hAnsiTheme="minorHAnsi" w:cstheme="minorHAnsi"/>
          <w:b/>
          <w:bCs/>
          <w:i/>
          <w:iCs/>
          <w:color w:val="0094C8"/>
          <w:sz w:val="28"/>
          <w:szCs w:val="28"/>
        </w:rPr>
        <w:t>eans that over 80% of the stock of buildings that will exist in 2050 are already built</w:t>
      </w:r>
      <w:r w:rsidR="00385FD2" w:rsidRPr="00385FD2">
        <w:rPr>
          <w:rFonts w:asciiTheme="minorHAnsi" w:hAnsiTheme="minorHAnsi" w:cstheme="minorHAnsi"/>
          <w:b/>
          <w:bCs/>
          <w:i/>
          <w:iCs/>
          <w:color w:val="0094C8"/>
          <w:sz w:val="28"/>
          <w:szCs w:val="28"/>
        </w:rPr>
        <w:t>.</w:t>
      </w:r>
    </w:p>
    <w:p w14:paraId="41E22D4B" w14:textId="77777777" w:rsidR="00385FD2" w:rsidRDefault="00385FD2" w:rsidP="00DB0C02">
      <w:pPr>
        <w:rPr>
          <w:rFonts w:asciiTheme="minorHAnsi" w:hAnsiTheme="minorHAnsi" w:cstheme="minorHAnsi"/>
          <w:b/>
          <w:bCs/>
          <w:i/>
          <w:iCs/>
          <w:sz w:val="28"/>
          <w:szCs w:val="28"/>
        </w:rPr>
      </w:pPr>
    </w:p>
    <w:p w14:paraId="68780D51" w14:textId="146707E4" w:rsidR="00385FD2" w:rsidRDefault="00385FD2" w:rsidP="00DB0C02">
      <w:pPr>
        <w:rPr>
          <w:rFonts w:asciiTheme="minorHAnsi" w:hAnsiTheme="minorHAnsi" w:cstheme="minorHAnsi"/>
          <w:szCs w:val="22"/>
        </w:rPr>
      </w:pPr>
      <w:r w:rsidRPr="00385FD2">
        <w:rPr>
          <w:rFonts w:asciiTheme="minorHAnsi" w:hAnsiTheme="minorHAnsi" w:cstheme="minorHAnsi"/>
          <w:szCs w:val="22"/>
        </w:rPr>
        <w:t>W</w:t>
      </w:r>
      <w:r w:rsidR="00DB0C02" w:rsidRPr="00DB0C02">
        <w:rPr>
          <w:rFonts w:asciiTheme="minorHAnsi" w:hAnsiTheme="minorHAnsi" w:cstheme="minorHAnsi"/>
          <w:szCs w:val="22"/>
        </w:rPr>
        <w:t xml:space="preserve">hat is clear is that management of real estate going forwards needs to change.  </w:t>
      </w:r>
    </w:p>
    <w:p w14:paraId="75C1FAFD" w14:textId="054FFBB5" w:rsidR="00DB0C02" w:rsidRPr="00DB0C02" w:rsidRDefault="00DB0C02" w:rsidP="00DB0C02">
      <w:pPr>
        <w:rPr>
          <w:rFonts w:asciiTheme="minorHAnsi" w:hAnsiTheme="minorHAnsi" w:cstheme="minorHAnsi"/>
          <w:szCs w:val="22"/>
        </w:rPr>
      </w:pPr>
      <w:r w:rsidRPr="00DB0C02">
        <w:rPr>
          <w:rFonts w:asciiTheme="minorHAnsi" w:hAnsiTheme="minorHAnsi" w:cstheme="minorHAnsi"/>
          <w:szCs w:val="22"/>
        </w:rPr>
        <w:t xml:space="preserve">  </w:t>
      </w:r>
    </w:p>
    <w:p w14:paraId="076E1405" w14:textId="77777777" w:rsidR="00385FD2" w:rsidRDefault="00DB0C02" w:rsidP="00DB0C02">
      <w:pPr>
        <w:rPr>
          <w:rFonts w:asciiTheme="minorHAnsi" w:hAnsiTheme="minorHAnsi" w:cstheme="minorHAnsi"/>
          <w:szCs w:val="22"/>
        </w:rPr>
      </w:pPr>
      <w:r w:rsidRPr="00DB0C02">
        <w:rPr>
          <w:rFonts w:asciiTheme="minorHAnsi" w:hAnsiTheme="minorHAnsi" w:cstheme="minorHAnsi"/>
          <w:szCs w:val="22"/>
        </w:rPr>
        <w:t xml:space="preserve">The good news is that it is changing.  But of course there is a huge amount to do.  At Orchard Street we have been building knowledge and experience for over 10 years in how real estate can be designed and built to operate with net zero carbon emissions.  Many buildings have been originally built with a good level of operational flexibility which means redevelopment doesn’t have to be the answer – indeed, demolition and re-development both have a high carbon tariff – but imaginative refurbishment programmes can position a property in a way that materially reduces energy use whilst ensuring renewable sources of energy provide heating/cooling and wider energy needs. </w:t>
      </w:r>
    </w:p>
    <w:p w14:paraId="2DC6B9DE" w14:textId="60A3CFF7" w:rsidR="00DB0C02" w:rsidRPr="00DB0C02" w:rsidRDefault="00DB0C02" w:rsidP="00DB0C02">
      <w:pPr>
        <w:rPr>
          <w:rFonts w:asciiTheme="minorHAnsi" w:hAnsiTheme="minorHAnsi" w:cstheme="minorHAnsi"/>
          <w:szCs w:val="22"/>
        </w:rPr>
      </w:pPr>
      <w:r w:rsidRPr="00DB0C02">
        <w:rPr>
          <w:rFonts w:asciiTheme="minorHAnsi" w:hAnsiTheme="minorHAnsi" w:cstheme="minorHAnsi"/>
          <w:szCs w:val="22"/>
        </w:rPr>
        <w:t xml:space="preserve"> </w:t>
      </w:r>
    </w:p>
    <w:p w14:paraId="70BD6572" w14:textId="77777777" w:rsidR="0068303F" w:rsidRDefault="00DB0C02" w:rsidP="00DB0C02">
      <w:pPr>
        <w:rPr>
          <w:rFonts w:asciiTheme="minorHAnsi" w:hAnsiTheme="minorHAnsi" w:cstheme="minorHAnsi"/>
          <w:szCs w:val="22"/>
        </w:rPr>
      </w:pPr>
      <w:r w:rsidRPr="00DB0C02">
        <w:rPr>
          <w:rFonts w:asciiTheme="minorHAnsi" w:hAnsiTheme="minorHAnsi" w:cstheme="minorHAnsi"/>
          <w:szCs w:val="22"/>
        </w:rPr>
        <w:t xml:space="preserve">But it is more complex than just this because owners and occupiers expect more from the properties they own, occupy and visit.  We spend 90% of our lives indoors and new research is emerging showing the impact that poorly designed and maintained buildings can have on our health and productivity.  </w:t>
      </w:r>
    </w:p>
    <w:p w14:paraId="7E251FCA" w14:textId="28BCDED5" w:rsidR="00DB0C02" w:rsidRDefault="000363C9" w:rsidP="00DB0C02">
      <w:pPr>
        <w:rPr>
          <w:rFonts w:asciiTheme="minorHAnsi" w:hAnsiTheme="minorHAnsi" w:cstheme="minorHAnsi"/>
          <w:szCs w:val="22"/>
        </w:rPr>
      </w:pPr>
      <w:r w:rsidRPr="00DB0C02">
        <w:rPr>
          <w:rFonts w:asciiTheme="minorHAnsi" w:hAnsiTheme="minorHAnsi" w:cstheme="minorHAnsi"/>
          <w:szCs w:val="22"/>
        </w:rPr>
        <w:t>Ground-breaking</w:t>
      </w:r>
      <w:r w:rsidR="00DB0C02" w:rsidRPr="00DB0C02">
        <w:rPr>
          <w:rFonts w:asciiTheme="minorHAnsi" w:hAnsiTheme="minorHAnsi" w:cstheme="minorHAnsi"/>
          <w:szCs w:val="22"/>
        </w:rPr>
        <w:t xml:space="preserve"> research from Harvard university starkly illustrates the cost of ‘sick’ </w:t>
      </w:r>
      <w:r w:rsidR="00DB0C02" w:rsidRPr="00DB0C02">
        <w:rPr>
          <w:rFonts w:asciiTheme="minorHAnsi" w:hAnsiTheme="minorHAnsi" w:cstheme="minorHAnsi"/>
          <w:szCs w:val="22"/>
        </w:rPr>
        <w:lastRenderedPageBreak/>
        <w:t xml:space="preserve">buildings to society: higher numbers of sick days, lower productivity and lower life expectancy – as illustrated below.  </w:t>
      </w:r>
    </w:p>
    <w:p w14:paraId="143B1C6D" w14:textId="6E5B1486" w:rsidR="00116EAB" w:rsidRDefault="00116EAB" w:rsidP="00DB0C02">
      <w:pPr>
        <w:rPr>
          <w:rFonts w:asciiTheme="minorHAnsi" w:hAnsiTheme="minorHAnsi" w:cstheme="minorHAnsi"/>
          <w:szCs w:val="22"/>
        </w:rPr>
      </w:pPr>
    </w:p>
    <w:p w14:paraId="3114C866" w14:textId="16891EA3" w:rsidR="00116EAB" w:rsidRPr="00116EAB" w:rsidRDefault="00116EAB" w:rsidP="00DB0C02">
      <w:pPr>
        <w:rPr>
          <w:rFonts w:asciiTheme="minorHAnsi" w:hAnsiTheme="minorHAnsi" w:cstheme="minorHAnsi"/>
          <w:b/>
          <w:bCs/>
          <w:color w:val="00B0F0"/>
          <w:sz w:val="28"/>
          <w:szCs w:val="28"/>
        </w:rPr>
      </w:pPr>
      <w:r w:rsidRPr="00116EAB">
        <w:rPr>
          <w:rFonts w:asciiTheme="minorHAnsi" w:hAnsiTheme="minorHAnsi" w:cstheme="minorHAnsi"/>
          <w:b/>
          <w:bCs/>
          <w:color w:val="00B0F0"/>
          <w:sz w:val="28"/>
          <w:szCs w:val="28"/>
        </w:rPr>
        <w:t>THE IMPACT OF GREEN BUILDNGS ON COGNITIVE FUNCTION</w:t>
      </w:r>
    </w:p>
    <w:p w14:paraId="75F07519" w14:textId="7683CAF2" w:rsidR="00116EAB" w:rsidRDefault="004D28A9" w:rsidP="00DB0C02">
      <w:pPr>
        <w:rPr>
          <w:rFonts w:asciiTheme="minorHAnsi" w:hAnsiTheme="minorHAnsi" w:cstheme="minorHAnsi"/>
          <w:noProof/>
          <w:szCs w:val="22"/>
        </w:rPr>
      </w:pPr>
      <w:r w:rsidRPr="004D28A9">
        <w:rPr>
          <w:rFonts w:asciiTheme="minorHAnsi" w:hAnsiTheme="minorHAnsi" w:cstheme="minorHAnsi"/>
          <w:noProof/>
          <w:szCs w:val="22"/>
        </w:rPr>
        <w:drawing>
          <wp:anchor distT="0" distB="0" distL="114300" distR="114300" simplePos="0" relativeHeight="251666432" behindDoc="0" locked="0" layoutInCell="1" allowOverlap="1" wp14:anchorId="36786B25" wp14:editId="583E7875">
            <wp:simplePos x="0" y="0"/>
            <wp:positionH relativeFrom="column">
              <wp:posOffset>-109220</wp:posOffset>
            </wp:positionH>
            <wp:positionV relativeFrom="paragraph">
              <wp:posOffset>219710</wp:posOffset>
            </wp:positionV>
            <wp:extent cx="5815330" cy="3780155"/>
            <wp:effectExtent l="0" t="0" r="0" b="0"/>
            <wp:wrapSquare wrapText="bothSides"/>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815330" cy="3780155"/>
                    </a:xfrm>
                    <a:prstGeom prst="rect">
                      <a:avLst/>
                    </a:prstGeom>
                  </pic:spPr>
                </pic:pic>
              </a:graphicData>
            </a:graphic>
            <wp14:sizeRelH relativeFrom="margin">
              <wp14:pctWidth>0</wp14:pctWidth>
            </wp14:sizeRelH>
            <wp14:sizeRelV relativeFrom="margin">
              <wp14:pctHeight>0</wp14:pctHeight>
            </wp14:sizeRelV>
          </wp:anchor>
        </w:drawing>
      </w:r>
    </w:p>
    <w:p w14:paraId="4C37C32F" w14:textId="2AC819F8" w:rsidR="004D28A9" w:rsidRDefault="004D28A9" w:rsidP="00DB0C02">
      <w:pPr>
        <w:rPr>
          <w:rFonts w:asciiTheme="minorHAnsi" w:hAnsiTheme="minorHAnsi" w:cstheme="minorHAnsi"/>
          <w:noProof/>
          <w:szCs w:val="22"/>
        </w:rPr>
      </w:pPr>
    </w:p>
    <w:p w14:paraId="597A17CA" w14:textId="77777777" w:rsidR="004D28A9" w:rsidRDefault="004D28A9" w:rsidP="00DB0C02">
      <w:pPr>
        <w:rPr>
          <w:rFonts w:asciiTheme="minorHAnsi" w:hAnsiTheme="minorHAnsi" w:cstheme="minorHAnsi"/>
          <w:szCs w:val="22"/>
        </w:rPr>
      </w:pPr>
    </w:p>
    <w:p w14:paraId="73DB47F9" w14:textId="390D9782" w:rsidR="00DB0C02" w:rsidRDefault="00DB0C02" w:rsidP="00DB0C02">
      <w:pPr>
        <w:rPr>
          <w:rFonts w:asciiTheme="minorHAnsi" w:hAnsiTheme="minorHAnsi" w:cstheme="minorHAnsi"/>
          <w:szCs w:val="22"/>
        </w:rPr>
      </w:pPr>
      <w:r w:rsidRPr="00DB0C02">
        <w:rPr>
          <w:rFonts w:asciiTheme="minorHAnsi" w:hAnsiTheme="minorHAnsi" w:cstheme="minorHAnsi"/>
          <w:szCs w:val="22"/>
        </w:rPr>
        <w:t xml:space="preserve">In this study, Harvard goes on to estimate that it can cost up to </w:t>
      </w:r>
      <w:r w:rsidR="000B146D">
        <w:rPr>
          <w:rFonts w:asciiTheme="minorHAnsi" w:hAnsiTheme="minorHAnsi" w:cstheme="minorHAnsi"/>
          <w:szCs w:val="22"/>
        </w:rPr>
        <w:t xml:space="preserve">USD </w:t>
      </w:r>
      <w:r w:rsidRPr="00DB0C02">
        <w:rPr>
          <w:rFonts w:asciiTheme="minorHAnsi" w:hAnsiTheme="minorHAnsi" w:cstheme="minorHAnsi"/>
          <w:szCs w:val="22"/>
        </w:rPr>
        <w:t>$6,500 per person per annum in a sick building v</w:t>
      </w:r>
      <w:r w:rsidR="000B146D">
        <w:rPr>
          <w:rFonts w:asciiTheme="minorHAnsi" w:hAnsiTheme="minorHAnsi" w:cstheme="minorHAnsi"/>
          <w:szCs w:val="22"/>
        </w:rPr>
        <w:t xml:space="preserve">ersus </w:t>
      </w:r>
      <w:r w:rsidRPr="00DB0C02">
        <w:rPr>
          <w:rFonts w:asciiTheme="minorHAnsi" w:hAnsiTheme="minorHAnsi" w:cstheme="minorHAnsi"/>
          <w:szCs w:val="22"/>
        </w:rPr>
        <w:t>a healthy building.  When the additional cost of providing a healthy building v</w:t>
      </w:r>
      <w:r w:rsidR="000B146D">
        <w:rPr>
          <w:rFonts w:asciiTheme="minorHAnsi" w:hAnsiTheme="minorHAnsi" w:cstheme="minorHAnsi"/>
          <w:szCs w:val="22"/>
        </w:rPr>
        <w:t>ersu</w:t>
      </w:r>
      <w:r w:rsidRPr="00DB0C02">
        <w:rPr>
          <w:rFonts w:asciiTheme="minorHAnsi" w:hAnsiTheme="minorHAnsi" w:cstheme="minorHAnsi"/>
          <w:szCs w:val="22"/>
        </w:rPr>
        <w:t xml:space="preserve">s a sick one is just a few dollars more per person per annum, there really is no excuse not to invest a bit more.  </w:t>
      </w:r>
    </w:p>
    <w:p w14:paraId="4C2060CC" w14:textId="031DD3F3" w:rsidR="000B146D" w:rsidRPr="00DB0C02" w:rsidRDefault="000B146D" w:rsidP="00DB0C02">
      <w:pPr>
        <w:rPr>
          <w:rFonts w:asciiTheme="minorHAnsi" w:hAnsiTheme="minorHAnsi" w:cstheme="minorHAnsi"/>
          <w:szCs w:val="22"/>
        </w:rPr>
      </w:pPr>
    </w:p>
    <w:p w14:paraId="3932AECB" w14:textId="56897FC4" w:rsidR="000B146D" w:rsidRDefault="00DB0C02" w:rsidP="00DB0C02">
      <w:pPr>
        <w:rPr>
          <w:rFonts w:asciiTheme="minorHAnsi" w:hAnsiTheme="minorHAnsi" w:cstheme="minorHAnsi"/>
          <w:szCs w:val="22"/>
        </w:rPr>
      </w:pPr>
      <w:r w:rsidRPr="00DB0C02">
        <w:rPr>
          <w:rFonts w:asciiTheme="minorHAnsi" w:hAnsiTheme="minorHAnsi" w:cstheme="minorHAnsi"/>
          <w:szCs w:val="22"/>
        </w:rPr>
        <w:t xml:space="preserve">The Covid pandemic has brought this health impact even more to the fore and highlighted how much of the current stock of buildings, particularly office buildings, are just not fit for purpose.  In some ways, producing a healthy building appears to conflict with traditional thinking which has focussed on insulation and being airtight in order to reduce the cost of heating and cooling.  </w:t>
      </w:r>
    </w:p>
    <w:p w14:paraId="0AB90269" w14:textId="77777777" w:rsidR="000B146D" w:rsidRDefault="000B146D" w:rsidP="00DB0C02">
      <w:pPr>
        <w:rPr>
          <w:rFonts w:asciiTheme="minorHAnsi" w:hAnsiTheme="minorHAnsi" w:cstheme="minorHAnsi"/>
          <w:szCs w:val="22"/>
        </w:rPr>
      </w:pPr>
    </w:p>
    <w:p w14:paraId="3E64FF30" w14:textId="68687763" w:rsidR="00DB0C02" w:rsidRPr="00DB0C02" w:rsidRDefault="00DB0C02" w:rsidP="00DB0C02">
      <w:pPr>
        <w:rPr>
          <w:rFonts w:asciiTheme="minorHAnsi" w:hAnsiTheme="minorHAnsi" w:cstheme="minorHAnsi"/>
          <w:szCs w:val="22"/>
        </w:rPr>
      </w:pPr>
      <w:r w:rsidRPr="00DB0C02">
        <w:rPr>
          <w:rFonts w:asciiTheme="minorHAnsi" w:hAnsiTheme="minorHAnsi" w:cstheme="minorHAnsi"/>
          <w:szCs w:val="22"/>
        </w:rPr>
        <w:t xml:space="preserve">However, this does not mean that healthy buildings cannot be energy efficient - it just requires more intelligent design and more sophisticated Building Management Systems. </w:t>
      </w:r>
    </w:p>
    <w:p w14:paraId="2CB54A2D" w14:textId="77777777" w:rsidR="000B146D" w:rsidRDefault="000B146D" w:rsidP="00DB0C02">
      <w:pPr>
        <w:rPr>
          <w:rFonts w:asciiTheme="minorHAnsi" w:hAnsiTheme="minorHAnsi" w:cstheme="minorHAnsi"/>
          <w:szCs w:val="22"/>
        </w:rPr>
      </w:pPr>
    </w:p>
    <w:p w14:paraId="439EA549" w14:textId="769E29C4" w:rsidR="00DB0C02" w:rsidRPr="00DB0C02" w:rsidRDefault="00DB0C02" w:rsidP="00DB0C02">
      <w:pPr>
        <w:rPr>
          <w:rFonts w:asciiTheme="minorHAnsi" w:hAnsiTheme="minorHAnsi" w:cstheme="minorHAnsi"/>
          <w:szCs w:val="22"/>
        </w:rPr>
      </w:pPr>
      <w:r w:rsidRPr="00DB0C02">
        <w:rPr>
          <w:rFonts w:asciiTheme="minorHAnsi" w:hAnsiTheme="minorHAnsi" w:cstheme="minorHAnsi"/>
          <w:szCs w:val="22"/>
        </w:rPr>
        <w:t xml:space="preserve">Occupiers of commercial property of course have their own corporate ambitions to limit their own carbon emissions associated with occupying property.  Buildings that operate with energy from renewable sources and that can operate on a net zero basis will have an enormous competitive advantage for occupiers.  Perhaps of equal importance, occupiers increasingly want to occupy buildings that are healthy, WELL certified with fresh air, outside space, cycle friendly and so on.    </w:t>
      </w:r>
    </w:p>
    <w:p w14:paraId="3837BAFC" w14:textId="10A56822" w:rsidR="00DB0C02" w:rsidRPr="00DB0C02" w:rsidRDefault="00DB0C02" w:rsidP="00DB0C02">
      <w:pPr>
        <w:rPr>
          <w:rFonts w:asciiTheme="minorHAnsi" w:hAnsiTheme="minorHAnsi" w:cstheme="minorHAnsi"/>
          <w:szCs w:val="22"/>
        </w:rPr>
      </w:pPr>
      <w:r w:rsidRPr="00DB0C02">
        <w:rPr>
          <w:rFonts w:asciiTheme="minorHAnsi" w:hAnsiTheme="minorHAnsi" w:cstheme="minorHAnsi"/>
          <w:szCs w:val="22"/>
        </w:rPr>
        <w:lastRenderedPageBreak/>
        <w:t xml:space="preserve">And if occupiers only want net zero, healthy buildings, then owners and investors will want to own them.  A virtuous circle perhaps but owners (and real estate managers) of real estate that ignore this sea change in attitudes will be left owning and managing real estate that sources energy from </w:t>
      </w:r>
      <w:r w:rsidR="000363C9" w:rsidRPr="00DB0C02">
        <w:rPr>
          <w:rFonts w:asciiTheme="minorHAnsi" w:hAnsiTheme="minorHAnsi" w:cstheme="minorHAnsi"/>
          <w:szCs w:val="22"/>
        </w:rPr>
        <w:t>non-renewables</w:t>
      </w:r>
      <w:r w:rsidRPr="00DB0C02">
        <w:rPr>
          <w:rFonts w:asciiTheme="minorHAnsi" w:hAnsiTheme="minorHAnsi" w:cstheme="minorHAnsi"/>
          <w:szCs w:val="22"/>
        </w:rPr>
        <w:t xml:space="preserve"> and that is energy inefficient.  Financial under performance beckons.  </w:t>
      </w:r>
    </w:p>
    <w:p w14:paraId="1E503A57" w14:textId="77777777" w:rsidR="0068303F" w:rsidRDefault="0068303F" w:rsidP="00DB0C02">
      <w:pPr>
        <w:rPr>
          <w:rFonts w:asciiTheme="minorHAnsi" w:hAnsiTheme="minorHAnsi" w:cstheme="minorHAnsi"/>
          <w:szCs w:val="22"/>
        </w:rPr>
      </w:pPr>
    </w:p>
    <w:p w14:paraId="4D0D2ABD" w14:textId="6F5FD4D4" w:rsidR="00DB0C02" w:rsidRPr="0068303F" w:rsidRDefault="00DB0C02" w:rsidP="0068303F">
      <w:pPr>
        <w:jc w:val="center"/>
        <w:rPr>
          <w:rFonts w:asciiTheme="minorHAnsi" w:eastAsiaTheme="minorEastAsia" w:hAnsi="Calibri" w:cstheme="minorBidi"/>
          <w:b/>
          <w:bCs/>
          <w:color w:val="00B0F0"/>
          <w:sz w:val="24"/>
          <w:szCs w:val="24"/>
          <w:lang w:eastAsia="en-GB"/>
        </w:rPr>
      </w:pPr>
      <w:r w:rsidRPr="0068303F">
        <w:rPr>
          <w:rFonts w:asciiTheme="minorHAnsi" w:eastAsiaTheme="minorEastAsia" w:hAnsi="Calibri" w:cstheme="minorBidi"/>
          <w:b/>
          <w:bCs/>
          <w:color w:val="00B0F0"/>
          <w:sz w:val="24"/>
          <w:szCs w:val="24"/>
          <w:lang w:eastAsia="en-GB"/>
        </w:rPr>
        <w:t>In our view</w:t>
      </w:r>
      <w:r w:rsidR="000B146D" w:rsidRPr="0068303F">
        <w:rPr>
          <w:rFonts w:asciiTheme="minorHAnsi" w:eastAsiaTheme="minorEastAsia" w:hAnsi="Calibri" w:cstheme="minorBidi"/>
          <w:b/>
          <w:bCs/>
          <w:color w:val="00B0F0"/>
          <w:sz w:val="24"/>
          <w:szCs w:val="24"/>
          <w:lang w:eastAsia="en-GB"/>
        </w:rPr>
        <w:t>,</w:t>
      </w:r>
      <w:r w:rsidRPr="0068303F">
        <w:rPr>
          <w:rFonts w:asciiTheme="minorHAnsi" w:eastAsiaTheme="minorEastAsia" w:hAnsi="Calibri" w:cstheme="minorBidi"/>
          <w:b/>
          <w:bCs/>
          <w:color w:val="00B0F0"/>
          <w:sz w:val="24"/>
          <w:szCs w:val="24"/>
          <w:lang w:eastAsia="en-GB"/>
        </w:rPr>
        <w:t xml:space="preserve"> all owners and managers of real estate have a responsibility to manage </w:t>
      </w:r>
      <w:r w:rsidR="00EE35B8" w:rsidRPr="0068303F">
        <w:rPr>
          <w:rFonts w:asciiTheme="minorHAnsi" w:eastAsiaTheme="minorEastAsia" w:hAnsi="Calibri" w:cstheme="minorBidi"/>
          <w:b/>
          <w:bCs/>
          <w:color w:val="00B0F0"/>
          <w:sz w:val="24"/>
          <w:szCs w:val="24"/>
          <w:lang w:eastAsia="en-GB"/>
        </w:rPr>
        <w:t xml:space="preserve">real estate </w:t>
      </w:r>
      <w:r w:rsidRPr="0068303F">
        <w:rPr>
          <w:rFonts w:asciiTheme="minorHAnsi" w:eastAsiaTheme="minorEastAsia" w:hAnsi="Calibri" w:cstheme="minorBidi"/>
          <w:b/>
          <w:bCs/>
          <w:color w:val="00B0F0"/>
          <w:sz w:val="24"/>
          <w:szCs w:val="24"/>
          <w:lang w:eastAsia="en-GB"/>
        </w:rPr>
        <w:t>assets proactively given the wider climate crisis and especially given the extent to which real estate is contributing to the problem.</w:t>
      </w:r>
    </w:p>
    <w:p w14:paraId="18B52AFB" w14:textId="77777777" w:rsidR="000B146D" w:rsidRPr="00DB0C02" w:rsidRDefault="000B146D" w:rsidP="00DB0C02">
      <w:pPr>
        <w:rPr>
          <w:rFonts w:asciiTheme="minorHAnsi" w:hAnsiTheme="minorHAnsi" w:cstheme="minorHAnsi"/>
          <w:szCs w:val="22"/>
        </w:rPr>
      </w:pPr>
    </w:p>
    <w:p w14:paraId="0D2D82A9" w14:textId="7375A56E" w:rsidR="00DB0C02" w:rsidRDefault="00DB0C02" w:rsidP="00DB0C02">
      <w:pPr>
        <w:rPr>
          <w:rFonts w:asciiTheme="minorHAnsi" w:hAnsiTheme="minorHAnsi" w:cstheme="minorHAnsi"/>
          <w:szCs w:val="22"/>
        </w:rPr>
      </w:pPr>
      <w:r w:rsidRPr="00DB0C02">
        <w:rPr>
          <w:rFonts w:asciiTheme="minorHAnsi" w:hAnsiTheme="minorHAnsi" w:cstheme="minorHAnsi"/>
          <w:szCs w:val="22"/>
        </w:rPr>
        <w:t>A future proofed commercial property portfolio will therefore comprise buildings that have a long life expectation and can be easily refurbished and adapted to accommodate future occupier needs.  If you get that bit right, such a portfolio will pro</w:t>
      </w:r>
      <w:r w:rsidR="00EE35B8">
        <w:rPr>
          <w:rFonts w:asciiTheme="minorHAnsi" w:hAnsiTheme="minorHAnsi" w:cstheme="minorHAnsi"/>
          <w:szCs w:val="22"/>
        </w:rPr>
        <w:t>duce</w:t>
      </w:r>
      <w:r w:rsidRPr="00DB0C02">
        <w:rPr>
          <w:rFonts w:asciiTheme="minorHAnsi" w:hAnsiTheme="minorHAnsi" w:cstheme="minorHAnsi"/>
          <w:szCs w:val="22"/>
        </w:rPr>
        <w:t xml:space="preserve"> superior financial performance too.  </w:t>
      </w:r>
    </w:p>
    <w:p w14:paraId="7896C91C" w14:textId="77777777" w:rsidR="000B146D" w:rsidRPr="00DB0C02" w:rsidRDefault="000B146D" w:rsidP="00DB0C02">
      <w:pPr>
        <w:rPr>
          <w:rFonts w:asciiTheme="minorHAnsi" w:hAnsiTheme="minorHAnsi" w:cstheme="minorHAnsi"/>
          <w:szCs w:val="22"/>
        </w:rPr>
      </w:pPr>
    </w:p>
    <w:p w14:paraId="25FA3363" w14:textId="40EF442B" w:rsidR="00DB0C02" w:rsidRDefault="00DB0C02" w:rsidP="00DB0C02">
      <w:pPr>
        <w:rPr>
          <w:rFonts w:asciiTheme="minorHAnsi" w:hAnsiTheme="minorHAnsi" w:cstheme="minorHAnsi"/>
          <w:szCs w:val="22"/>
        </w:rPr>
      </w:pPr>
      <w:r w:rsidRPr="00DB0C02">
        <w:rPr>
          <w:rFonts w:asciiTheme="minorHAnsi" w:hAnsiTheme="minorHAnsi" w:cstheme="minorHAnsi"/>
          <w:szCs w:val="22"/>
        </w:rPr>
        <w:t xml:space="preserve">Warehouse buildings – whether industrial or retail – offer easy pickings with large roof spaces that can accommodate </w:t>
      </w:r>
      <w:r w:rsidR="000B146D">
        <w:rPr>
          <w:rFonts w:asciiTheme="minorHAnsi" w:hAnsiTheme="minorHAnsi" w:cstheme="minorHAnsi"/>
          <w:szCs w:val="22"/>
        </w:rPr>
        <w:t xml:space="preserve">solar </w:t>
      </w:r>
      <w:r w:rsidRPr="00DB0C02">
        <w:rPr>
          <w:rFonts w:asciiTheme="minorHAnsi" w:hAnsiTheme="minorHAnsi" w:cstheme="minorHAnsi"/>
          <w:szCs w:val="22"/>
        </w:rPr>
        <w:t xml:space="preserve">PV panels and warehouse space itself that often is unheated.  Offices are more complex because of much higher energy </w:t>
      </w:r>
      <w:r w:rsidR="000363C9" w:rsidRPr="00DB0C02">
        <w:rPr>
          <w:rFonts w:asciiTheme="minorHAnsi" w:hAnsiTheme="minorHAnsi" w:cstheme="minorHAnsi"/>
          <w:szCs w:val="22"/>
        </w:rPr>
        <w:t>usage</w:t>
      </w:r>
      <w:r w:rsidRPr="00DB0C02">
        <w:rPr>
          <w:rFonts w:asciiTheme="minorHAnsi" w:hAnsiTheme="minorHAnsi" w:cstheme="minorHAnsi"/>
          <w:szCs w:val="22"/>
        </w:rPr>
        <w:t xml:space="preserve"> associated with complex M&amp;E systems but much can still be done.  </w:t>
      </w:r>
    </w:p>
    <w:p w14:paraId="7E7E96BB" w14:textId="77777777" w:rsidR="000B146D" w:rsidRPr="00DB0C02" w:rsidRDefault="000B146D" w:rsidP="00DB0C02">
      <w:pPr>
        <w:rPr>
          <w:rFonts w:asciiTheme="minorHAnsi" w:hAnsiTheme="minorHAnsi" w:cstheme="minorHAnsi"/>
          <w:szCs w:val="22"/>
        </w:rPr>
      </w:pPr>
    </w:p>
    <w:p w14:paraId="0A9213F7" w14:textId="478B2779" w:rsidR="00DB0C02" w:rsidRPr="00DB0C02" w:rsidRDefault="00DB0C02" w:rsidP="00DB0C02">
      <w:pPr>
        <w:rPr>
          <w:rFonts w:asciiTheme="minorHAnsi" w:hAnsiTheme="minorHAnsi" w:cstheme="minorHAnsi"/>
          <w:szCs w:val="22"/>
        </w:rPr>
      </w:pPr>
      <w:r w:rsidRPr="004E0773">
        <w:rPr>
          <w:rFonts w:asciiTheme="minorHAnsi" w:hAnsiTheme="minorHAnsi" w:cstheme="minorHAnsi"/>
          <w:szCs w:val="22"/>
        </w:rPr>
        <w:t xml:space="preserve">Indeed we completed a project recently which set out to replace perished carbon steel pipework in a £50m office building in Bristol but which soon evolved into </w:t>
      </w:r>
      <w:r w:rsidR="00E1069C" w:rsidRPr="004E0773">
        <w:rPr>
          <w:rFonts w:asciiTheme="minorHAnsi" w:hAnsiTheme="minorHAnsi" w:cstheme="minorHAnsi"/>
          <w:szCs w:val="22"/>
        </w:rPr>
        <w:t xml:space="preserve">a £3m project </w:t>
      </w:r>
      <w:r w:rsidR="004E0773" w:rsidRPr="004E0773">
        <w:rPr>
          <w:rFonts w:asciiTheme="minorHAnsi" w:hAnsiTheme="minorHAnsi" w:cstheme="minorHAnsi"/>
          <w:szCs w:val="22"/>
        </w:rPr>
        <w:t xml:space="preserve">which also included upgrades to </w:t>
      </w:r>
      <w:r w:rsidR="00E1069C" w:rsidRPr="004E0773">
        <w:rPr>
          <w:rFonts w:asciiTheme="minorHAnsi" w:hAnsiTheme="minorHAnsi" w:cstheme="minorHAnsi"/>
          <w:szCs w:val="22"/>
        </w:rPr>
        <w:t>lighting and air conditioning plant</w:t>
      </w:r>
      <w:r w:rsidRPr="004E0773">
        <w:rPr>
          <w:rFonts w:asciiTheme="minorHAnsi" w:hAnsiTheme="minorHAnsi" w:cstheme="minorHAnsi"/>
          <w:szCs w:val="22"/>
        </w:rPr>
        <w:t>.</w:t>
      </w:r>
      <w:r w:rsidR="00E1069C" w:rsidRPr="004E0773">
        <w:rPr>
          <w:rFonts w:asciiTheme="minorHAnsi" w:hAnsiTheme="minorHAnsi" w:cstheme="minorHAnsi"/>
          <w:szCs w:val="22"/>
        </w:rPr>
        <w:t xml:space="preserve">  </w:t>
      </w:r>
      <w:r w:rsidRPr="004E0773">
        <w:rPr>
          <w:rFonts w:asciiTheme="minorHAnsi" w:hAnsiTheme="minorHAnsi" w:cstheme="minorHAnsi"/>
          <w:szCs w:val="22"/>
        </w:rPr>
        <w:t xml:space="preserve">This has </w:t>
      </w:r>
      <w:r w:rsidR="00E1069C" w:rsidRPr="004E0773">
        <w:rPr>
          <w:rFonts w:asciiTheme="minorHAnsi" w:hAnsiTheme="minorHAnsi" w:cstheme="minorHAnsi"/>
          <w:szCs w:val="22"/>
        </w:rPr>
        <w:t xml:space="preserve">created a </w:t>
      </w:r>
      <w:r w:rsidRPr="004E0773">
        <w:rPr>
          <w:rFonts w:asciiTheme="minorHAnsi" w:hAnsiTheme="minorHAnsi" w:cstheme="minorHAnsi"/>
          <w:szCs w:val="22"/>
        </w:rPr>
        <w:t>substantial</w:t>
      </w:r>
      <w:r w:rsidR="00E1069C" w:rsidRPr="004E0773">
        <w:rPr>
          <w:rFonts w:asciiTheme="minorHAnsi" w:hAnsiTheme="minorHAnsi" w:cstheme="minorHAnsi"/>
          <w:szCs w:val="22"/>
        </w:rPr>
        <w:t xml:space="preserve"> reduction in future energy usage in the building with new LED lighting and a hybrid VRF air conditioning system </w:t>
      </w:r>
      <w:r w:rsidR="00EE35B8">
        <w:rPr>
          <w:rFonts w:asciiTheme="minorHAnsi" w:hAnsiTheme="minorHAnsi" w:cstheme="minorHAnsi"/>
          <w:szCs w:val="22"/>
        </w:rPr>
        <w:t xml:space="preserve">respectively </w:t>
      </w:r>
      <w:r w:rsidR="00E1069C" w:rsidRPr="004E0773">
        <w:rPr>
          <w:rFonts w:asciiTheme="minorHAnsi" w:hAnsiTheme="minorHAnsi" w:cstheme="minorHAnsi"/>
          <w:szCs w:val="22"/>
        </w:rPr>
        <w:t xml:space="preserve">using </w:t>
      </w:r>
      <w:r w:rsidR="00EE35B8" w:rsidRPr="004E0773">
        <w:rPr>
          <w:rFonts w:asciiTheme="minorHAnsi" w:hAnsiTheme="minorHAnsi" w:cstheme="minorHAnsi"/>
          <w:szCs w:val="22"/>
        </w:rPr>
        <w:t xml:space="preserve">70% </w:t>
      </w:r>
      <w:r w:rsidR="00EE35B8">
        <w:rPr>
          <w:rFonts w:asciiTheme="minorHAnsi" w:hAnsiTheme="minorHAnsi" w:cstheme="minorHAnsi"/>
          <w:szCs w:val="22"/>
        </w:rPr>
        <w:t xml:space="preserve">and </w:t>
      </w:r>
      <w:r w:rsidR="00E1069C" w:rsidRPr="004E0773">
        <w:rPr>
          <w:rFonts w:asciiTheme="minorHAnsi" w:hAnsiTheme="minorHAnsi" w:cstheme="minorHAnsi"/>
          <w:szCs w:val="22"/>
        </w:rPr>
        <w:t xml:space="preserve">25% </w:t>
      </w:r>
      <w:r w:rsidRPr="004E0773">
        <w:rPr>
          <w:rFonts w:asciiTheme="minorHAnsi" w:hAnsiTheme="minorHAnsi" w:cstheme="minorHAnsi"/>
          <w:szCs w:val="22"/>
        </w:rPr>
        <w:t>less energy</w:t>
      </w:r>
      <w:r w:rsidR="00E1069C" w:rsidRPr="004E0773">
        <w:rPr>
          <w:rFonts w:asciiTheme="minorHAnsi" w:hAnsiTheme="minorHAnsi" w:cstheme="minorHAnsi"/>
          <w:szCs w:val="22"/>
        </w:rPr>
        <w:t>.  T</w:t>
      </w:r>
      <w:r w:rsidRPr="004E0773">
        <w:rPr>
          <w:rFonts w:asciiTheme="minorHAnsi" w:hAnsiTheme="minorHAnsi" w:cstheme="minorHAnsi"/>
          <w:szCs w:val="22"/>
        </w:rPr>
        <w:t xml:space="preserve">he project </w:t>
      </w:r>
      <w:r w:rsidR="004E0773" w:rsidRPr="004E0773">
        <w:rPr>
          <w:rFonts w:asciiTheme="minorHAnsi" w:hAnsiTheme="minorHAnsi" w:cstheme="minorHAnsi"/>
          <w:szCs w:val="22"/>
        </w:rPr>
        <w:t>cost more than we originally planned but broadening the scope of the project has brought immediate energy saving advantages</w:t>
      </w:r>
      <w:r w:rsidR="004E0773">
        <w:rPr>
          <w:rFonts w:asciiTheme="minorHAnsi" w:hAnsiTheme="minorHAnsi" w:cstheme="minorHAnsi"/>
          <w:szCs w:val="22"/>
        </w:rPr>
        <w:t xml:space="preserve"> and contributed to an improvement in the </w:t>
      </w:r>
      <w:r w:rsidR="004E0773" w:rsidRPr="000B146D">
        <w:rPr>
          <w:rFonts w:asciiTheme="minorHAnsi" w:hAnsiTheme="minorHAnsi" w:cstheme="minorHAnsi"/>
          <w:szCs w:val="22"/>
        </w:rPr>
        <w:t>Energy Performance Certificate</w:t>
      </w:r>
      <w:r w:rsidR="004E0773" w:rsidRPr="004E0773">
        <w:rPr>
          <w:rFonts w:asciiTheme="minorHAnsi" w:hAnsiTheme="minorHAnsi" w:cstheme="minorHAnsi"/>
          <w:szCs w:val="22"/>
        </w:rPr>
        <w:t xml:space="preserve"> from </w:t>
      </w:r>
      <w:r w:rsidR="004E0773">
        <w:rPr>
          <w:rFonts w:asciiTheme="minorHAnsi" w:hAnsiTheme="minorHAnsi" w:cstheme="minorHAnsi"/>
          <w:szCs w:val="22"/>
        </w:rPr>
        <w:t xml:space="preserve">Grade </w:t>
      </w:r>
      <w:r w:rsidR="004E0773" w:rsidRPr="004E0773">
        <w:rPr>
          <w:rFonts w:asciiTheme="minorHAnsi" w:hAnsiTheme="minorHAnsi" w:cstheme="minorHAnsi"/>
          <w:szCs w:val="22"/>
        </w:rPr>
        <w:t xml:space="preserve">C to </w:t>
      </w:r>
      <w:r w:rsidR="004E0773">
        <w:rPr>
          <w:rFonts w:asciiTheme="minorHAnsi" w:hAnsiTheme="minorHAnsi" w:cstheme="minorHAnsi"/>
          <w:szCs w:val="22"/>
        </w:rPr>
        <w:t xml:space="preserve">Grade </w:t>
      </w:r>
      <w:r w:rsidR="004E0773" w:rsidRPr="004E0773">
        <w:rPr>
          <w:rFonts w:asciiTheme="minorHAnsi" w:hAnsiTheme="minorHAnsi" w:cstheme="minorHAnsi"/>
          <w:szCs w:val="22"/>
        </w:rPr>
        <w:t>B</w:t>
      </w:r>
      <w:r w:rsidR="004E0773">
        <w:rPr>
          <w:rFonts w:asciiTheme="minorHAnsi" w:hAnsiTheme="minorHAnsi" w:cstheme="minorHAnsi"/>
          <w:szCs w:val="22"/>
        </w:rPr>
        <w:t>.  B</w:t>
      </w:r>
      <w:r w:rsidR="004E0773" w:rsidRPr="004E0773">
        <w:rPr>
          <w:rFonts w:asciiTheme="minorHAnsi" w:hAnsiTheme="minorHAnsi" w:cstheme="minorHAnsi"/>
          <w:szCs w:val="22"/>
        </w:rPr>
        <w:t xml:space="preserve">y creating a </w:t>
      </w:r>
      <w:r w:rsidRPr="004E0773">
        <w:rPr>
          <w:rFonts w:asciiTheme="minorHAnsi" w:hAnsiTheme="minorHAnsi" w:cstheme="minorHAnsi"/>
          <w:szCs w:val="22"/>
        </w:rPr>
        <w:t xml:space="preserve">building </w:t>
      </w:r>
      <w:r w:rsidR="004E0773" w:rsidRPr="004E0773">
        <w:rPr>
          <w:rFonts w:asciiTheme="minorHAnsi" w:hAnsiTheme="minorHAnsi" w:cstheme="minorHAnsi"/>
          <w:szCs w:val="22"/>
        </w:rPr>
        <w:t xml:space="preserve">offering </w:t>
      </w:r>
      <w:r w:rsidRPr="004E0773">
        <w:rPr>
          <w:rFonts w:asciiTheme="minorHAnsi" w:hAnsiTheme="minorHAnsi" w:cstheme="minorHAnsi"/>
          <w:szCs w:val="22"/>
        </w:rPr>
        <w:t>modern energy efficient space</w:t>
      </w:r>
      <w:r w:rsidR="004E0773" w:rsidRPr="004E0773">
        <w:rPr>
          <w:rFonts w:asciiTheme="minorHAnsi" w:hAnsiTheme="minorHAnsi" w:cstheme="minorHAnsi"/>
          <w:szCs w:val="22"/>
        </w:rPr>
        <w:t xml:space="preserve">, we have </w:t>
      </w:r>
      <w:r w:rsidR="004E0773">
        <w:rPr>
          <w:rFonts w:asciiTheme="minorHAnsi" w:hAnsiTheme="minorHAnsi" w:cstheme="minorHAnsi"/>
          <w:szCs w:val="22"/>
        </w:rPr>
        <w:t xml:space="preserve">also </w:t>
      </w:r>
      <w:r w:rsidR="004E0773" w:rsidRPr="004E0773">
        <w:rPr>
          <w:rFonts w:asciiTheme="minorHAnsi" w:hAnsiTheme="minorHAnsi" w:cstheme="minorHAnsi"/>
          <w:szCs w:val="22"/>
        </w:rPr>
        <w:t xml:space="preserve">positioned the property to provide a </w:t>
      </w:r>
      <w:r w:rsidRPr="004E0773">
        <w:rPr>
          <w:rFonts w:asciiTheme="minorHAnsi" w:hAnsiTheme="minorHAnsi" w:cstheme="minorHAnsi"/>
          <w:szCs w:val="22"/>
        </w:rPr>
        <w:t>strong financial performance in the future too.</w:t>
      </w:r>
      <w:r w:rsidRPr="00DB0C02">
        <w:rPr>
          <w:rFonts w:asciiTheme="minorHAnsi" w:hAnsiTheme="minorHAnsi" w:cstheme="minorHAnsi"/>
          <w:szCs w:val="22"/>
        </w:rPr>
        <w:t xml:space="preserve">    </w:t>
      </w:r>
    </w:p>
    <w:p w14:paraId="4071FF4A" w14:textId="77777777" w:rsidR="000B146D" w:rsidRDefault="000B146D" w:rsidP="00DB0C02">
      <w:pPr>
        <w:rPr>
          <w:rFonts w:asciiTheme="minorHAnsi" w:hAnsiTheme="minorHAnsi" w:cstheme="minorHAnsi"/>
          <w:szCs w:val="22"/>
        </w:rPr>
      </w:pPr>
    </w:p>
    <w:p w14:paraId="2114AAA6" w14:textId="37835B5C" w:rsidR="00DB0C02" w:rsidRDefault="00DB0C02" w:rsidP="00DB0C02">
      <w:r w:rsidRPr="00DB0C02">
        <w:rPr>
          <w:rFonts w:asciiTheme="minorHAnsi" w:hAnsiTheme="minorHAnsi" w:cstheme="minorHAnsi"/>
          <w:szCs w:val="22"/>
        </w:rPr>
        <w:t xml:space="preserve">In another recent office refurbishment - in Manchester - we were able to consider both the energy </w:t>
      </w:r>
      <w:r w:rsidR="000363C9" w:rsidRPr="00DB0C02">
        <w:rPr>
          <w:rFonts w:asciiTheme="minorHAnsi" w:hAnsiTheme="minorHAnsi" w:cstheme="minorHAnsi"/>
          <w:szCs w:val="22"/>
        </w:rPr>
        <w:t>usage</w:t>
      </w:r>
      <w:r w:rsidRPr="00DB0C02">
        <w:rPr>
          <w:rFonts w:asciiTheme="minorHAnsi" w:hAnsiTheme="minorHAnsi" w:cstheme="minorHAnsi"/>
          <w:szCs w:val="22"/>
        </w:rPr>
        <w:t xml:space="preserve"> and healthy building agendas</w:t>
      </w:r>
      <w:r w:rsidR="000B146D">
        <w:rPr>
          <w:rFonts w:asciiTheme="minorHAnsi" w:hAnsiTheme="minorHAnsi" w:cstheme="minorHAnsi"/>
          <w:szCs w:val="22"/>
        </w:rPr>
        <w:t>. Key to this was an</w:t>
      </w:r>
      <w:r w:rsidRPr="00DB0C02">
        <w:rPr>
          <w:rFonts w:asciiTheme="minorHAnsi" w:hAnsiTheme="minorHAnsi" w:cstheme="minorHAnsi"/>
          <w:szCs w:val="22"/>
        </w:rPr>
        <w:t xml:space="preserve"> ambitio</w:t>
      </w:r>
      <w:r w:rsidR="000B146D">
        <w:rPr>
          <w:rFonts w:asciiTheme="minorHAnsi" w:hAnsiTheme="minorHAnsi" w:cstheme="minorHAnsi"/>
          <w:szCs w:val="22"/>
        </w:rPr>
        <w:t>us</w:t>
      </w:r>
      <w:r w:rsidRPr="00DB0C02">
        <w:rPr>
          <w:rFonts w:asciiTheme="minorHAnsi" w:hAnsiTheme="minorHAnsi" w:cstheme="minorHAnsi"/>
          <w:szCs w:val="22"/>
        </w:rPr>
        <w:t xml:space="preserve"> </w:t>
      </w:r>
      <w:r w:rsidR="000B146D">
        <w:rPr>
          <w:rFonts w:asciiTheme="minorHAnsi" w:hAnsiTheme="minorHAnsi" w:cstheme="minorHAnsi"/>
          <w:szCs w:val="22"/>
        </w:rPr>
        <w:t xml:space="preserve">plan </w:t>
      </w:r>
      <w:r w:rsidRPr="00DB0C02">
        <w:rPr>
          <w:rFonts w:asciiTheme="minorHAnsi" w:hAnsiTheme="minorHAnsi" w:cstheme="minorHAnsi"/>
          <w:szCs w:val="22"/>
        </w:rPr>
        <w:t xml:space="preserve">to create and enable the best working environment possible </w:t>
      </w:r>
      <w:r w:rsidR="004E0773">
        <w:rPr>
          <w:rFonts w:asciiTheme="minorHAnsi" w:hAnsiTheme="minorHAnsi" w:cstheme="minorHAnsi"/>
          <w:szCs w:val="22"/>
        </w:rPr>
        <w:t>and so whilst w</w:t>
      </w:r>
      <w:r w:rsidR="000B146D">
        <w:rPr>
          <w:rFonts w:asciiTheme="minorHAnsi" w:hAnsiTheme="minorHAnsi" w:cstheme="minorHAnsi"/>
          <w:szCs w:val="22"/>
        </w:rPr>
        <w:t xml:space="preserve">e </w:t>
      </w:r>
      <w:r w:rsidR="000B146D" w:rsidRPr="000B146D">
        <w:rPr>
          <w:rFonts w:asciiTheme="minorHAnsi" w:hAnsiTheme="minorHAnsi" w:cstheme="minorHAnsi"/>
          <w:szCs w:val="22"/>
        </w:rPr>
        <w:t>mov</w:t>
      </w:r>
      <w:r w:rsidR="000B146D">
        <w:rPr>
          <w:rFonts w:asciiTheme="minorHAnsi" w:hAnsiTheme="minorHAnsi" w:cstheme="minorHAnsi"/>
          <w:szCs w:val="22"/>
        </w:rPr>
        <w:t>ed</w:t>
      </w:r>
      <w:r w:rsidR="000B146D" w:rsidRPr="000B146D">
        <w:rPr>
          <w:rFonts w:asciiTheme="minorHAnsi" w:hAnsiTheme="minorHAnsi" w:cstheme="minorHAnsi"/>
          <w:szCs w:val="22"/>
        </w:rPr>
        <w:t xml:space="preserve"> the Energy Performance Certificate from a Grade C to Grade A</w:t>
      </w:r>
      <w:r w:rsidR="004E0773">
        <w:rPr>
          <w:rFonts w:asciiTheme="minorHAnsi" w:hAnsiTheme="minorHAnsi" w:cstheme="minorHAnsi"/>
          <w:szCs w:val="22"/>
        </w:rPr>
        <w:t xml:space="preserve">, we also </w:t>
      </w:r>
      <w:r w:rsidR="000B146D">
        <w:rPr>
          <w:rFonts w:asciiTheme="minorHAnsi" w:hAnsiTheme="minorHAnsi" w:cstheme="minorHAnsi"/>
          <w:szCs w:val="22"/>
        </w:rPr>
        <w:t>achieved the rare accolade of</w:t>
      </w:r>
      <w:r w:rsidRPr="00DB0C02">
        <w:rPr>
          <w:rFonts w:asciiTheme="minorHAnsi" w:hAnsiTheme="minorHAnsi" w:cstheme="minorHAnsi"/>
          <w:szCs w:val="22"/>
        </w:rPr>
        <w:t xml:space="preserve"> WELL building certification in 2019.  </w:t>
      </w:r>
      <w:r w:rsidR="000B146D" w:rsidRPr="000B146D">
        <w:t xml:space="preserve"> </w:t>
      </w:r>
    </w:p>
    <w:p w14:paraId="1A6D435D" w14:textId="77777777" w:rsidR="000B146D" w:rsidRPr="00DB0C02" w:rsidRDefault="000B146D" w:rsidP="00DB0C02">
      <w:pPr>
        <w:rPr>
          <w:rFonts w:asciiTheme="minorHAnsi" w:hAnsiTheme="minorHAnsi" w:cstheme="minorHAnsi"/>
          <w:szCs w:val="22"/>
        </w:rPr>
      </w:pPr>
    </w:p>
    <w:p w14:paraId="30E35375" w14:textId="01A149C5" w:rsidR="00DB0C02" w:rsidRPr="00DB0C02" w:rsidRDefault="00DB0C02" w:rsidP="00DB0C02">
      <w:pPr>
        <w:rPr>
          <w:rFonts w:asciiTheme="minorHAnsi" w:hAnsiTheme="minorHAnsi" w:cstheme="minorHAnsi"/>
          <w:szCs w:val="22"/>
        </w:rPr>
      </w:pPr>
      <w:r w:rsidRPr="00DB0C02">
        <w:rPr>
          <w:rFonts w:asciiTheme="minorHAnsi" w:hAnsiTheme="minorHAnsi" w:cstheme="minorHAnsi"/>
          <w:szCs w:val="22"/>
        </w:rPr>
        <w:t xml:space="preserve">There are currently only three WELL certified buildings in the UK and this property is the only one to have achieved </w:t>
      </w:r>
      <w:r w:rsidR="00A86120">
        <w:rPr>
          <w:rFonts w:asciiTheme="minorHAnsi" w:hAnsiTheme="minorHAnsi" w:cstheme="minorHAnsi"/>
          <w:szCs w:val="22"/>
        </w:rPr>
        <w:t xml:space="preserve">this </w:t>
      </w:r>
      <w:r w:rsidR="00327D49">
        <w:rPr>
          <w:rFonts w:asciiTheme="minorHAnsi" w:hAnsiTheme="minorHAnsi" w:cstheme="minorHAnsi"/>
          <w:szCs w:val="22"/>
        </w:rPr>
        <w:t>certification</w:t>
      </w:r>
      <w:r w:rsidRPr="00DB0C02">
        <w:rPr>
          <w:rFonts w:asciiTheme="minorHAnsi" w:hAnsiTheme="minorHAnsi" w:cstheme="minorHAnsi"/>
          <w:szCs w:val="22"/>
        </w:rPr>
        <w:t xml:space="preserve"> following a refurbishment.  Today the building is best in class with a strong tenant amenity proposition including roof garden, cycle racks with associated showers and a café. </w:t>
      </w:r>
    </w:p>
    <w:p w14:paraId="03841A4A" w14:textId="77777777" w:rsidR="000B146D" w:rsidRDefault="000B146D" w:rsidP="00DB0C02">
      <w:pPr>
        <w:rPr>
          <w:rFonts w:asciiTheme="minorHAnsi" w:hAnsiTheme="minorHAnsi" w:cstheme="minorHAnsi"/>
          <w:szCs w:val="22"/>
        </w:rPr>
      </w:pPr>
    </w:p>
    <w:p w14:paraId="1C058F57" w14:textId="1F8178E1" w:rsidR="00DB0C02" w:rsidRPr="00DB0C02" w:rsidRDefault="00DB0C02" w:rsidP="00DB0C02">
      <w:pPr>
        <w:rPr>
          <w:rFonts w:asciiTheme="minorHAnsi" w:hAnsiTheme="minorHAnsi" w:cstheme="minorHAnsi"/>
          <w:szCs w:val="22"/>
        </w:rPr>
      </w:pPr>
      <w:r w:rsidRPr="00DB0C02">
        <w:rPr>
          <w:rFonts w:asciiTheme="minorHAnsi" w:hAnsiTheme="minorHAnsi" w:cstheme="minorHAnsi"/>
          <w:szCs w:val="22"/>
        </w:rPr>
        <w:t>Elsewhere we have recently completed a project on an industrial warehouse property near Leeds.  One of the tenants had gone into liquidation leaving a building which required substantial capital expenditure to bring back into shape – the traditional solution would have been repair the roof, give it all a lick of paint and let it, as is, since demand for industrial warehouse units of this type was probably strong enough that enough tenants might overlook the building</w:t>
      </w:r>
      <w:r w:rsidR="0068303F">
        <w:rPr>
          <w:rFonts w:asciiTheme="minorHAnsi" w:hAnsiTheme="minorHAnsi" w:cstheme="minorHAnsi"/>
          <w:szCs w:val="22"/>
        </w:rPr>
        <w:t>’</w:t>
      </w:r>
      <w:r w:rsidRPr="00DB0C02">
        <w:rPr>
          <w:rFonts w:asciiTheme="minorHAnsi" w:hAnsiTheme="minorHAnsi" w:cstheme="minorHAnsi"/>
          <w:szCs w:val="22"/>
        </w:rPr>
        <w:t xml:space="preserve">s other weaknesses. </w:t>
      </w:r>
    </w:p>
    <w:p w14:paraId="2A7D28E8" w14:textId="77777777" w:rsidR="000B146D" w:rsidRDefault="000B146D" w:rsidP="00DB0C02">
      <w:pPr>
        <w:rPr>
          <w:rFonts w:asciiTheme="minorHAnsi" w:hAnsiTheme="minorHAnsi" w:cstheme="minorHAnsi"/>
          <w:szCs w:val="22"/>
        </w:rPr>
      </w:pPr>
    </w:p>
    <w:p w14:paraId="1C58BC4C" w14:textId="7DF13B4E" w:rsidR="00DB0C02" w:rsidRPr="00DB0C02" w:rsidRDefault="00DB0C02" w:rsidP="00DB0C02">
      <w:pPr>
        <w:rPr>
          <w:rFonts w:asciiTheme="minorHAnsi" w:hAnsiTheme="minorHAnsi" w:cstheme="minorHAnsi"/>
          <w:szCs w:val="22"/>
        </w:rPr>
      </w:pPr>
      <w:r w:rsidRPr="00DB0C02">
        <w:rPr>
          <w:rFonts w:asciiTheme="minorHAnsi" w:hAnsiTheme="minorHAnsi" w:cstheme="minorHAnsi"/>
          <w:szCs w:val="22"/>
        </w:rPr>
        <w:t xml:space="preserve">A more invasive future proofing of the building would obviously cost significantly more with a new insulated roof and space reconfiguration.  However, from our regular engagement with the occupier community on the wider estate we knew the next door tenant was keen to expand into this unit and by designing a project to cover the new roof in solar PV (and selling the power generated to the incoming tenant on a long term power purchase contract at a discount to the price they were paying from the grid), we created a valuable financial outcome even though we invested more in the building than a traditional route might have advocated.  We can now look forward to ongoing </w:t>
      </w:r>
      <w:r w:rsidRPr="00DB0C02">
        <w:rPr>
          <w:rFonts w:asciiTheme="minorHAnsi" w:hAnsiTheme="minorHAnsi" w:cstheme="minorHAnsi"/>
          <w:szCs w:val="22"/>
        </w:rPr>
        <w:lastRenderedPageBreak/>
        <w:t>attractive financial returns coming from a building that has a materially reduced carbon footprint and we have saved the tenant money on their power bill.</w:t>
      </w:r>
    </w:p>
    <w:p w14:paraId="24B2E68F" w14:textId="77777777" w:rsidR="000B146D" w:rsidRDefault="000B146D" w:rsidP="00DB0C02">
      <w:pPr>
        <w:rPr>
          <w:rFonts w:asciiTheme="minorHAnsi" w:hAnsiTheme="minorHAnsi" w:cstheme="minorHAnsi"/>
          <w:szCs w:val="22"/>
        </w:rPr>
      </w:pPr>
    </w:p>
    <w:p w14:paraId="133C7239" w14:textId="088FB96A" w:rsidR="00DB0C02" w:rsidRDefault="00DB0C02" w:rsidP="00DB0C02">
      <w:pPr>
        <w:rPr>
          <w:rFonts w:asciiTheme="minorHAnsi" w:hAnsiTheme="minorHAnsi" w:cstheme="minorHAnsi"/>
          <w:szCs w:val="22"/>
        </w:rPr>
      </w:pPr>
      <w:r w:rsidRPr="00DB0C02">
        <w:rPr>
          <w:rFonts w:asciiTheme="minorHAnsi" w:hAnsiTheme="minorHAnsi" w:cstheme="minorHAnsi"/>
          <w:szCs w:val="22"/>
        </w:rPr>
        <w:t>Sometimes refurbishment just doesn’t work, as was the case with an obsolete 1930’s industrial estate in west London</w:t>
      </w:r>
      <w:r w:rsidR="00EE35B8">
        <w:rPr>
          <w:rFonts w:asciiTheme="minorHAnsi" w:hAnsiTheme="minorHAnsi" w:cstheme="minorHAnsi"/>
          <w:szCs w:val="22"/>
        </w:rPr>
        <w:t xml:space="preserve"> where </w:t>
      </w:r>
      <w:r w:rsidRPr="00DB0C02">
        <w:rPr>
          <w:rFonts w:asciiTheme="minorHAnsi" w:hAnsiTheme="minorHAnsi" w:cstheme="minorHAnsi"/>
          <w:szCs w:val="22"/>
        </w:rPr>
        <w:t>we have now created the first ‘carbon neutral in operation’ scheme in London</w:t>
      </w:r>
      <w:r w:rsidR="00EE35B8">
        <w:rPr>
          <w:rFonts w:asciiTheme="minorHAnsi" w:hAnsiTheme="minorHAnsi" w:cstheme="minorHAnsi"/>
          <w:szCs w:val="22"/>
        </w:rPr>
        <w:t>.  W</w:t>
      </w:r>
      <w:r w:rsidRPr="00DB0C02">
        <w:rPr>
          <w:rFonts w:asciiTheme="minorHAnsi" w:hAnsiTheme="minorHAnsi" w:cstheme="minorHAnsi"/>
          <w:szCs w:val="22"/>
        </w:rPr>
        <w:t>hilst the development spend was larger than for a traditional redevelopment, our approach has spotlighted the property ahead of other options for tenants leading to preletting of part, shorter voids on the rest, higher rents and an overall financial outcome significantly ahead of pre project expectations. Prior to the redevelopment, rents for the 1930’s units were in the range £5.50 to £7 per sq ft but afterwards we have achieved in excess of £15 per sq ft and the redevelopment delivered an ungeared IRR in excess of 20%.</w:t>
      </w:r>
    </w:p>
    <w:p w14:paraId="21FFA6B1" w14:textId="77777777" w:rsidR="00327D49" w:rsidRPr="00DB0C02" w:rsidRDefault="00327D49" w:rsidP="00DB0C02">
      <w:pPr>
        <w:rPr>
          <w:rFonts w:asciiTheme="minorHAnsi" w:hAnsiTheme="minorHAnsi" w:cstheme="minorHAnsi"/>
          <w:szCs w:val="22"/>
        </w:rPr>
      </w:pPr>
    </w:p>
    <w:p w14:paraId="10F6BA8B" w14:textId="7B118A69" w:rsidR="00DB0C02" w:rsidRPr="00DB0C02" w:rsidRDefault="00DB0C02" w:rsidP="00DB0C02">
      <w:pPr>
        <w:rPr>
          <w:rFonts w:asciiTheme="minorHAnsi" w:hAnsiTheme="minorHAnsi" w:cstheme="minorHAnsi"/>
          <w:szCs w:val="22"/>
        </w:rPr>
      </w:pPr>
      <w:r w:rsidRPr="00DB0C02">
        <w:rPr>
          <w:rFonts w:asciiTheme="minorHAnsi" w:hAnsiTheme="minorHAnsi" w:cstheme="minorHAnsi"/>
          <w:szCs w:val="22"/>
        </w:rPr>
        <w:t xml:space="preserve">All of these examples represent good </w:t>
      </w:r>
      <w:r w:rsidR="000363C9" w:rsidRPr="00DB0C02">
        <w:rPr>
          <w:rFonts w:asciiTheme="minorHAnsi" w:hAnsiTheme="minorHAnsi" w:cstheme="minorHAnsi"/>
          <w:szCs w:val="22"/>
        </w:rPr>
        <w:t>progress,</w:t>
      </w:r>
      <w:r w:rsidRPr="00DB0C02">
        <w:rPr>
          <w:rFonts w:asciiTheme="minorHAnsi" w:hAnsiTheme="minorHAnsi" w:cstheme="minorHAnsi"/>
          <w:szCs w:val="22"/>
        </w:rPr>
        <w:t xml:space="preserve"> but we know we can do more.  With government regulations on energy </w:t>
      </w:r>
      <w:r w:rsidR="000363C9" w:rsidRPr="00DB0C02">
        <w:rPr>
          <w:rFonts w:asciiTheme="minorHAnsi" w:hAnsiTheme="minorHAnsi" w:cstheme="minorHAnsi"/>
          <w:szCs w:val="22"/>
        </w:rPr>
        <w:t>usage</w:t>
      </w:r>
      <w:r w:rsidRPr="00DB0C02">
        <w:rPr>
          <w:rFonts w:asciiTheme="minorHAnsi" w:hAnsiTheme="minorHAnsi" w:cstheme="minorHAnsi"/>
          <w:szCs w:val="22"/>
        </w:rPr>
        <w:t xml:space="preserve"> likely to get more demanding in the future, buildings will need to operate on a net zero basis.  Occupiers will want more too, with buildings which can help with staff retention and productivity, rather than hinder it. So managers of real estate will need to consider more than just financial return as they consider the winners and losers in their portfolios. </w:t>
      </w:r>
    </w:p>
    <w:p w14:paraId="1923F58C" w14:textId="77777777" w:rsidR="00327D49" w:rsidRDefault="00327D49" w:rsidP="00DB0C02">
      <w:pPr>
        <w:rPr>
          <w:rFonts w:asciiTheme="minorHAnsi" w:hAnsiTheme="minorHAnsi" w:cstheme="minorHAnsi"/>
          <w:szCs w:val="22"/>
        </w:rPr>
      </w:pPr>
    </w:p>
    <w:p w14:paraId="645F250F" w14:textId="67AAA90B" w:rsidR="00DB0C02" w:rsidRPr="00DB0C02" w:rsidRDefault="00DB0C02" w:rsidP="00DB0C02">
      <w:pPr>
        <w:rPr>
          <w:rFonts w:asciiTheme="minorHAnsi" w:hAnsiTheme="minorHAnsi" w:cstheme="minorHAnsi"/>
          <w:szCs w:val="22"/>
        </w:rPr>
      </w:pPr>
      <w:r w:rsidRPr="00DB0C02">
        <w:rPr>
          <w:rFonts w:asciiTheme="minorHAnsi" w:hAnsiTheme="minorHAnsi" w:cstheme="minorHAnsi"/>
          <w:szCs w:val="22"/>
        </w:rPr>
        <w:t xml:space="preserve">Orchard Street is currently launching a new Impact Fund which will tackle head on the urgent need to remediate existing UK stock.  The Fund will embark on an accelerated programme of creating buildings operating on a net zero basis whilst also creating ‘healthy’ environments within buildings and engaging with local communities to provide a material social contribution for them.      </w:t>
      </w:r>
    </w:p>
    <w:p w14:paraId="0BF57485" w14:textId="77777777" w:rsidR="00327D49" w:rsidRDefault="00327D49" w:rsidP="00DB0C02">
      <w:pPr>
        <w:rPr>
          <w:rFonts w:asciiTheme="minorHAnsi" w:hAnsiTheme="minorHAnsi" w:cstheme="minorHAnsi"/>
          <w:szCs w:val="22"/>
        </w:rPr>
      </w:pPr>
    </w:p>
    <w:p w14:paraId="311DA3FD" w14:textId="138FBA94" w:rsidR="00DB0C02" w:rsidRPr="00DB0C02" w:rsidRDefault="00DB0C02" w:rsidP="00DB0C02">
      <w:pPr>
        <w:rPr>
          <w:rFonts w:asciiTheme="minorHAnsi" w:hAnsiTheme="minorHAnsi" w:cstheme="minorHAnsi"/>
          <w:szCs w:val="22"/>
        </w:rPr>
      </w:pPr>
      <w:r w:rsidRPr="00DB0C02">
        <w:rPr>
          <w:rFonts w:asciiTheme="minorHAnsi" w:hAnsiTheme="minorHAnsi" w:cstheme="minorHAnsi"/>
          <w:szCs w:val="22"/>
        </w:rPr>
        <w:t xml:space="preserve">Our Fund </w:t>
      </w:r>
      <w:r w:rsidRPr="00327D49">
        <w:rPr>
          <w:rFonts w:asciiTheme="minorHAnsi" w:hAnsiTheme="minorHAnsi" w:cstheme="minorHAnsi"/>
          <w:szCs w:val="22"/>
        </w:rPr>
        <w:t xml:space="preserve">is aligned with five selected UNSDGs and Article 9 EU Taxonomy. Our </w:t>
      </w:r>
      <w:r w:rsidRPr="00DB0C02">
        <w:rPr>
          <w:rFonts w:asciiTheme="minorHAnsi" w:hAnsiTheme="minorHAnsi" w:cstheme="minorHAnsi"/>
          <w:szCs w:val="22"/>
        </w:rPr>
        <w:t xml:space="preserve">objective is to provide investors with a portfolio of future ‘fit for purpose’ assets capable of delivering an attractive ‘value add’ style return – 12-15% IRR – and after stabilisation, the potential to hold these properties as they will generate long term attractive income returns. </w:t>
      </w:r>
    </w:p>
    <w:p w14:paraId="738FD6B1" w14:textId="77777777" w:rsidR="00327D49" w:rsidRDefault="00327D49" w:rsidP="00DB0C02">
      <w:pPr>
        <w:rPr>
          <w:rFonts w:asciiTheme="minorHAnsi" w:hAnsiTheme="minorHAnsi" w:cstheme="minorHAnsi"/>
          <w:szCs w:val="22"/>
        </w:rPr>
      </w:pPr>
    </w:p>
    <w:p w14:paraId="5928FE32" w14:textId="2B6F8803" w:rsidR="00DB0C02" w:rsidRDefault="00DB0C02" w:rsidP="00DB0C02">
      <w:pPr>
        <w:rPr>
          <w:rFonts w:asciiTheme="minorHAnsi" w:hAnsiTheme="minorHAnsi" w:cstheme="minorHAnsi"/>
          <w:szCs w:val="22"/>
        </w:rPr>
      </w:pPr>
      <w:r w:rsidRPr="00DB0C02">
        <w:rPr>
          <w:rFonts w:asciiTheme="minorHAnsi" w:hAnsiTheme="minorHAnsi" w:cstheme="minorHAnsi"/>
          <w:szCs w:val="22"/>
        </w:rPr>
        <w:t>The Fund will acquire, refurbish, repurpose and reposition existing under-utilised real estate in a way that brings positive environmental and social impacts at the local level. Success will be measured against K</w:t>
      </w:r>
      <w:r w:rsidRPr="00327D49">
        <w:rPr>
          <w:rFonts w:asciiTheme="minorHAnsi" w:hAnsiTheme="minorHAnsi" w:cstheme="minorHAnsi"/>
          <w:szCs w:val="22"/>
        </w:rPr>
        <w:t>PIs and will of course be third party assured – because that’s how we define genuine Impact investing and that is what is required.</w:t>
      </w:r>
    </w:p>
    <w:p w14:paraId="70C19575" w14:textId="77777777" w:rsidR="00CF7D43" w:rsidRPr="00327D49" w:rsidRDefault="00CF7D43" w:rsidP="00DB0C02">
      <w:pPr>
        <w:rPr>
          <w:rFonts w:asciiTheme="minorHAnsi" w:hAnsiTheme="minorHAnsi" w:cstheme="minorHAnsi"/>
          <w:szCs w:val="22"/>
        </w:rPr>
      </w:pPr>
    </w:p>
    <w:p w14:paraId="7B6E3B63" w14:textId="2896BB86" w:rsidR="00CF7D43" w:rsidRPr="003F3993" w:rsidRDefault="00CF7D43" w:rsidP="00CF7D43">
      <w:pPr>
        <w:pStyle w:val="NormalWeb"/>
        <w:overflowPunct w:val="0"/>
        <w:spacing w:before="0" w:beforeAutospacing="0" w:after="0" w:afterAutospacing="0"/>
        <w:ind w:left="-142"/>
        <w:jc w:val="center"/>
        <w:rPr>
          <w:rFonts w:asciiTheme="minorHAnsi" w:eastAsiaTheme="minorEastAsia" w:hAnsi="Calibri" w:cstheme="minorBidi"/>
          <w:b/>
          <w:bCs/>
          <w:color w:val="00B0F0"/>
          <w:sz w:val="28"/>
          <w:szCs w:val="28"/>
        </w:rPr>
      </w:pPr>
      <w:r w:rsidRPr="00532A00">
        <w:rPr>
          <w:rFonts w:asciiTheme="minorHAnsi" w:eastAsiaTheme="minorEastAsia" w:hAnsi="Calibri" w:cstheme="minorBidi"/>
          <w:b/>
          <w:bCs/>
          <w:color w:val="00B0F0"/>
        </w:rPr>
        <w:t xml:space="preserve">“The built environment contributes c.40% of the UK’s total carbon footprint, and </w:t>
      </w:r>
      <w:r w:rsidR="00EE35B8">
        <w:rPr>
          <w:rFonts w:asciiTheme="minorHAnsi" w:eastAsiaTheme="minorEastAsia" w:hAnsi="Calibri" w:cstheme="minorBidi"/>
          <w:b/>
          <w:bCs/>
          <w:color w:val="00B0F0"/>
        </w:rPr>
        <w:t xml:space="preserve">with </w:t>
      </w:r>
      <w:r w:rsidRPr="00532A00">
        <w:rPr>
          <w:rFonts w:asciiTheme="minorHAnsi" w:eastAsiaTheme="minorEastAsia" w:hAnsi="Calibri" w:cstheme="minorBidi"/>
          <w:b/>
          <w:bCs/>
          <w:color w:val="00B0F0"/>
        </w:rPr>
        <w:t>the majority of these emissions coming from existing and aging buildings, there is need to decarbonise the existing stock.”</w:t>
      </w:r>
      <w:r>
        <w:rPr>
          <w:rFonts w:asciiTheme="minorHAnsi" w:eastAsiaTheme="minorEastAsia" w:hAnsi="Calibri" w:cstheme="minorBidi"/>
          <w:b/>
          <w:bCs/>
          <w:color w:val="00B0F0"/>
        </w:rPr>
        <w:t xml:space="preserve"> </w:t>
      </w:r>
      <w:r w:rsidRPr="008E2016">
        <w:rPr>
          <w:rFonts w:asciiTheme="minorHAnsi" w:eastAsiaTheme="minorHAnsi" w:hAnsiTheme="minorHAnsi" w:cstheme="minorBidi"/>
          <w:b/>
          <w:bCs/>
          <w:i/>
          <w:color w:val="00B0F0"/>
        </w:rPr>
        <w:t xml:space="preserve">.  </w:t>
      </w:r>
      <w:r w:rsidRPr="008E2016">
        <w:rPr>
          <w:rFonts w:asciiTheme="minorHAnsi" w:eastAsiaTheme="minorHAnsi" w:hAnsiTheme="minorHAnsi" w:cstheme="minorBidi"/>
          <w:b/>
          <w:bCs/>
          <w:iCs/>
          <w:color w:val="00B0F0"/>
          <w:sz w:val="16"/>
          <w:szCs w:val="16"/>
        </w:rPr>
        <w:t>Sou</w:t>
      </w:r>
      <w:r>
        <w:rPr>
          <w:rFonts w:asciiTheme="minorHAnsi" w:eastAsiaTheme="minorHAnsi" w:hAnsiTheme="minorHAnsi" w:cstheme="minorBidi"/>
          <w:b/>
          <w:bCs/>
          <w:iCs/>
          <w:color w:val="00B0F0"/>
          <w:sz w:val="16"/>
          <w:szCs w:val="16"/>
        </w:rPr>
        <w:t>r</w:t>
      </w:r>
      <w:r w:rsidRPr="008E2016">
        <w:rPr>
          <w:rFonts w:asciiTheme="minorHAnsi" w:eastAsiaTheme="minorHAnsi" w:hAnsiTheme="minorHAnsi" w:cstheme="minorBidi"/>
          <w:b/>
          <w:bCs/>
          <w:iCs/>
          <w:color w:val="00B0F0"/>
          <w:sz w:val="16"/>
          <w:szCs w:val="16"/>
        </w:rPr>
        <w:t>ce: UK GBC</w:t>
      </w:r>
    </w:p>
    <w:p w14:paraId="62C6B564" w14:textId="77777777" w:rsidR="00CF7D43" w:rsidRDefault="00CF7D43" w:rsidP="00CF7D43">
      <w:pPr>
        <w:pStyle w:val="ListParagraph"/>
        <w:ind w:left="-284"/>
        <w:rPr>
          <w:rFonts w:asciiTheme="minorHAnsi" w:eastAsiaTheme="minorHAnsi" w:hAnsiTheme="minorHAnsi" w:cstheme="minorBidi"/>
          <w:iCs/>
          <w:szCs w:val="22"/>
        </w:rPr>
      </w:pPr>
    </w:p>
    <w:p w14:paraId="7C29A780" w14:textId="32DE73A2" w:rsidR="00CF7D43" w:rsidRDefault="00CF7D43" w:rsidP="00CF7D43">
      <w:pPr>
        <w:pStyle w:val="ListParagraph"/>
        <w:spacing w:after="240" w:line="276" w:lineRule="auto"/>
        <w:ind w:left="-142"/>
        <w:rPr>
          <w:rFonts w:asciiTheme="minorHAnsi" w:eastAsiaTheme="minorHAnsi" w:hAnsiTheme="minorHAnsi" w:cstheme="minorBidi"/>
          <w:iCs/>
          <w:szCs w:val="22"/>
        </w:rPr>
      </w:pPr>
      <w:r w:rsidRPr="003F2BA2">
        <w:rPr>
          <w:rFonts w:asciiTheme="minorHAnsi" w:eastAsiaTheme="minorHAnsi" w:hAnsiTheme="minorHAnsi" w:cstheme="minorBidi"/>
          <w:iCs/>
          <w:szCs w:val="22"/>
        </w:rPr>
        <w:t xml:space="preserve">This disturbing statistic highlights to us that </w:t>
      </w:r>
      <w:r>
        <w:rPr>
          <w:rFonts w:asciiTheme="minorHAnsi" w:eastAsiaTheme="minorHAnsi" w:hAnsiTheme="minorHAnsi" w:cstheme="minorBidi"/>
          <w:iCs/>
          <w:szCs w:val="22"/>
        </w:rPr>
        <w:t>as a real estate house</w:t>
      </w:r>
      <w:r w:rsidRPr="003F2BA2">
        <w:rPr>
          <w:rFonts w:asciiTheme="minorHAnsi" w:eastAsiaTheme="minorHAnsi" w:hAnsiTheme="minorHAnsi" w:cstheme="minorBidi"/>
          <w:iCs/>
          <w:szCs w:val="22"/>
        </w:rPr>
        <w:t xml:space="preserve"> </w:t>
      </w:r>
      <w:r>
        <w:rPr>
          <w:rFonts w:asciiTheme="minorHAnsi" w:eastAsiaTheme="minorHAnsi" w:hAnsiTheme="minorHAnsi" w:cstheme="minorBidi"/>
          <w:iCs/>
          <w:szCs w:val="22"/>
        </w:rPr>
        <w:t xml:space="preserve">we </w:t>
      </w:r>
      <w:r w:rsidRPr="003F2BA2">
        <w:rPr>
          <w:rFonts w:asciiTheme="minorHAnsi" w:eastAsiaTheme="minorHAnsi" w:hAnsiTheme="minorHAnsi" w:cstheme="minorBidi"/>
          <w:iCs/>
          <w:szCs w:val="22"/>
        </w:rPr>
        <w:t>need to do a better job</w:t>
      </w:r>
      <w:r w:rsidR="00EE35B8">
        <w:rPr>
          <w:rFonts w:asciiTheme="minorHAnsi" w:eastAsiaTheme="minorHAnsi" w:hAnsiTheme="minorHAnsi" w:cstheme="minorBidi"/>
          <w:iCs/>
          <w:szCs w:val="22"/>
        </w:rPr>
        <w:t xml:space="preserve">.  Indeed, </w:t>
      </w:r>
      <w:r w:rsidRPr="003F2BA2">
        <w:rPr>
          <w:rFonts w:asciiTheme="minorHAnsi" w:eastAsiaTheme="minorHAnsi" w:hAnsiTheme="minorHAnsi" w:cstheme="minorBidi"/>
          <w:iCs/>
          <w:szCs w:val="22"/>
        </w:rPr>
        <w:t xml:space="preserve">the UK property industry has a responsibility to do a better job </w:t>
      </w:r>
      <w:r>
        <w:rPr>
          <w:rFonts w:asciiTheme="minorHAnsi" w:eastAsiaTheme="minorHAnsi" w:hAnsiTheme="minorHAnsi" w:cstheme="minorBidi"/>
          <w:iCs/>
          <w:szCs w:val="22"/>
        </w:rPr>
        <w:t>-</w:t>
      </w:r>
      <w:r w:rsidRPr="003F2BA2">
        <w:rPr>
          <w:rFonts w:asciiTheme="minorHAnsi" w:eastAsiaTheme="minorHAnsi" w:hAnsiTheme="minorHAnsi" w:cstheme="minorBidi"/>
          <w:iCs/>
          <w:szCs w:val="22"/>
        </w:rPr>
        <w:t xml:space="preserve"> we all need to be more aspirational in </w:t>
      </w:r>
      <w:r w:rsidR="00EE35B8">
        <w:rPr>
          <w:rFonts w:asciiTheme="minorHAnsi" w:eastAsiaTheme="minorHAnsi" w:hAnsiTheme="minorHAnsi" w:cstheme="minorBidi"/>
          <w:iCs/>
          <w:szCs w:val="22"/>
        </w:rPr>
        <w:t xml:space="preserve">the </w:t>
      </w:r>
      <w:r w:rsidRPr="003F2BA2">
        <w:rPr>
          <w:rFonts w:asciiTheme="minorHAnsi" w:eastAsiaTheme="minorHAnsi" w:hAnsiTheme="minorHAnsi" w:cstheme="minorBidi"/>
          <w:iCs/>
          <w:szCs w:val="22"/>
        </w:rPr>
        <w:t>objective</w:t>
      </w:r>
      <w:r>
        <w:rPr>
          <w:rFonts w:asciiTheme="minorHAnsi" w:eastAsiaTheme="minorHAnsi" w:hAnsiTheme="minorHAnsi" w:cstheme="minorBidi"/>
          <w:iCs/>
          <w:szCs w:val="22"/>
        </w:rPr>
        <w:t>s</w:t>
      </w:r>
      <w:r w:rsidRPr="003F2BA2">
        <w:rPr>
          <w:rFonts w:asciiTheme="minorHAnsi" w:eastAsiaTheme="minorHAnsi" w:hAnsiTheme="minorHAnsi" w:cstheme="minorBidi"/>
          <w:iCs/>
          <w:szCs w:val="22"/>
        </w:rPr>
        <w:t xml:space="preserve"> </w:t>
      </w:r>
      <w:r w:rsidR="00EE35B8">
        <w:rPr>
          <w:rFonts w:asciiTheme="minorHAnsi" w:eastAsiaTheme="minorHAnsi" w:hAnsiTheme="minorHAnsi" w:cstheme="minorBidi"/>
          <w:iCs/>
          <w:szCs w:val="22"/>
        </w:rPr>
        <w:t xml:space="preserve">we set for ourselves if we are to achieve better outcomes with the buildings we manage.  </w:t>
      </w:r>
      <w:r w:rsidRPr="003F2BA2">
        <w:rPr>
          <w:rFonts w:asciiTheme="minorHAnsi" w:eastAsiaTheme="minorHAnsi" w:hAnsiTheme="minorHAnsi" w:cstheme="minorBidi"/>
          <w:iCs/>
          <w:szCs w:val="22"/>
        </w:rPr>
        <w:t>The built environment touches every member of our society</w:t>
      </w:r>
      <w:r w:rsidR="00EE35B8">
        <w:rPr>
          <w:rFonts w:asciiTheme="minorHAnsi" w:eastAsiaTheme="minorHAnsi" w:hAnsiTheme="minorHAnsi" w:cstheme="minorBidi"/>
          <w:iCs/>
          <w:szCs w:val="22"/>
        </w:rPr>
        <w:t xml:space="preserve">: </w:t>
      </w:r>
      <w:r w:rsidR="0077640D">
        <w:rPr>
          <w:rFonts w:asciiTheme="minorHAnsi" w:eastAsiaTheme="minorHAnsi" w:hAnsiTheme="minorHAnsi" w:cstheme="minorBidi"/>
          <w:iCs/>
          <w:szCs w:val="22"/>
        </w:rPr>
        <w:t xml:space="preserve">in the first instance </w:t>
      </w:r>
      <w:r w:rsidRPr="003F2BA2">
        <w:rPr>
          <w:rFonts w:asciiTheme="minorHAnsi" w:eastAsiaTheme="minorHAnsi" w:hAnsiTheme="minorHAnsi" w:cstheme="minorBidi"/>
          <w:iCs/>
          <w:szCs w:val="22"/>
        </w:rPr>
        <w:t>housing provides shelter</w:t>
      </w:r>
      <w:r w:rsidR="0077640D">
        <w:rPr>
          <w:rFonts w:asciiTheme="minorHAnsi" w:eastAsiaTheme="minorHAnsi" w:hAnsiTheme="minorHAnsi" w:cstheme="minorBidi"/>
          <w:iCs/>
          <w:szCs w:val="22"/>
        </w:rPr>
        <w:t xml:space="preserve"> but it is </w:t>
      </w:r>
      <w:r w:rsidRPr="003F2BA2">
        <w:rPr>
          <w:rFonts w:asciiTheme="minorHAnsi" w:eastAsiaTheme="minorHAnsi" w:hAnsiTheme="minorHAnsi" w:cstheme="minorBidi"/>
          <w:iCs/>
          <w:szCs w:val="22"/>
        </w:rPr>
        <w:t xml:space="preserve">buildings </w:t>
      </w:r>
      <w:r w:rsidR="0077640D">
        <w:rPr>
          <w:rFonts w:asciiTheme="minorHAnsi" w:eastAsiaTheme="minorHAnsi" w:hAnsiTheme="minorHAnsi" w:cstheme="minorBidi"/>
          <w:iCs/>
          <w:szCs w:val="22"/>
        </w:rPr>
        <w:t xml:space="preserve">which provide a place for </w:t>
      </w:r>
      <w:r w:rsidRPr="003F2BA2">
        <w:rPr>
          <w:rFonts w:asciiTheme="minorHAnsi" w:eastAsiaTheme="minorHAnsi" w:hAnsiTheme="minorHAnsi" w:cstheme="minorBidi"/>
          <w:iCs/>
          <w:szCs w:val="22"/>
        </w:rPr>
        <w:t xml:space="preserve">work and facilities to educate, motivate and rehabilitate. These premises need to be fit for purpose for their users, for their owners and importantly for the community in which they sit. </w:t>
      </w:r>
    </w:p>
    <w:p w14:paraId="6AA02F78" w14:textId="1E49F386" w:rsidR="00CF7D43" w:rsidRDefault="00CF7D43" w:rsidP="00CF7D43">
      <w:pPr>
        <w:pStyle w:val="ListParagraph"/>
        <w:spacing w:after="240" w:line="276" w:lineRule="auto"/>
        <w:ind w:left="-284"/>
        <w:rPr>
          <w:rFonts w:asciiTheme="minorHAnsi" w:eastAsiaTheme="minorHAnsi" w:hAnsiTheme="minorHAnsi" w:cstheme="minorBidi"/>
          <w:iCs/>
          <w:szCs w:val="22"/>
        </w:rPr>
      </w:pPr>
    </w:p>
    <w:p w14:paraId="084A7822" w14:textId="3DA0F427" w:rsidR="00CF7D43" w:rsidRDefault="00CF7D43" w:rsidP="00CF7D43">
      <w:pPr>
        <w:pStyle w:val="ListParagraph"/>
        <w:spacing w:after="240" w:line="276" w:lineRule="auto"/>
        <w:ind w:left="-142"/>
        <w:rPr>
          <w:rFonts w:asciiTheme="minorHAnsi" w:eastAsiaTheme="minorHAnsi" w:hAnsiTheme="minorHAnsi" w:cstheme="minorBidi"/>
          <w:b/>
          <w:bCs/>
          <w:iCs/>
          <w:szCs w:val="22"/>
        </w:rPr>
      </w:pPr>
      <w:r>
        <w:rPr>
          <w:rFonts w:asciiTheme="minorHAnsi" w:eastAsiaTheme="minorHAnsi" w:hAnsiTheme="minorHAnsi" w:cstheme="minorBidi"/>
          <w:iCs/>
          <w:szCs w:val="22"/>
        </w:rPr>
        <w:t xml:space="preserve"> </w:t>
      </w:r>
    </w:p>
    <w:p w14:paraId="1C4DF13D" w14:textId="053B5A70" w:rsidR="00CF7D43" w:rsidRDefault="00CF7D43" w:rsidP="00CF7D43">
      <w:pPr>
        <w:spacing w:after="200" w:line="276" w:lineRule="auto"/>
        <w:rPr>
          <w:rFonts w:asciiTheme="minorHAnsi" w:eastAsiaTheme="minorHAnsi" w:hAnsiTheme="minorHAnsi" w:cstheme="minorBidi"/>
          <w:b/>
          <w:bCs/>
          <w:iCs/>
          <w:szCs w:val="22"/>
        </w:rPr>
      </w:pPr>
    </w:p>
    <w:p w14:paraId="161028DC" w14:textId="77777777" w:rsidR="00CF7D43" w:rsidRPr="003F2BA2" w:rsidRDefault="00CF7D43" w:rsidP="00CF7D43">
      <w:pPr>
        <w:pStyle w:val="ListParagraph"/>
        <w:spacing w:after="240" w:line="276" w:lineRule="auto"/>
        <w:ind w:left="-284"/>
        <w:rPr>
          <w:rFonts w:asciiTheme="minorHAnsi" w:eastAsiaTheme="minorHAnsi" w:hAnsiTheme="minorHAnsi" w:cstheme="minorBidi"/>
          <w:iCs/>
          <w:szCs w:val="22"/>
        </w:rPr>
      </w:pPr>
    </w:p>
    <w:p w14:paraId="650BC219" w14:textId="77777777" w:rsidR="00CF7D43" w:rsidRPr="003F2BA2" w:rsidRDefault="00CF7D43" w:rsidP="00CF7D43">
      <w:pPr>
        <w:pStyle w:val="ListParagraph"/>
        <w:ind w:left="-284"/>
        <w:rPr>
          <w:rFonts w:asciiTheme="minorHAnsi" w:eastAsiaTheme="minorHAnsi" w:hAnsiTheme="minorHAnsi" w:cstheme="minorBidi"/>
          <w:iCs/>
          <w:szCs w:val="22"/>
        </w:rPr>
      </w:pPr>
    </w:p>
    <w:p w14:paraId="14ACA37A" w14:textId="702C3F41" w:rsidR="00327D49" w:rsidRDefault="00327D49">
      <w:pPr>
        <w:spacing w:after="160" w:line="259" w:lineRule="auto"/>
        <w:rPr>
          <w:iCs/>
        </w:rPr>
      </w:pPr>
      <w:r>
        <w:rPr>
          <w:iCs/>
        </w:rPr>
        <w:br w:type="page"/>
      </w:r>
    </w:p>
    <w:p w14:paraId="6C83A3A9" w14:textId="278A4E69" w:rsidR="00DB0C02" w:rsidRDefault="00A86120" w:rsidP="00DB0C02">
      <w:pPr>
        <w:pStyle w:val="ListParagraph"/>
        <w:ind w:left="-284"/>
        <w:rPr>
          <w:iCs/>
        </w:rPr>
      </w:pPr>
      <w:r>
        <w:rPr>
          <w:noProof/>
        </w:rPr>
        <w:lastRenderedPageBreak/>
        <mc:AlternateContent>
          <mc:Choice Requires="wps">
            <w:drawing>
              <wp:anchor distT="471805" distB="471805" distL="114300" distR="114300" simplePos="0" relativeHeight="251664384" behindDoc="0" locked="0" layoutInCell="1" allowOverlap="1" wp14:anchorId="155249C1" wp14:editId="47642659">
                <wp:simplePos x="0" y="0"/>
                <wp:positionH relativeFrom="page">
                  <wp:posOffset>-313899</wp:posOffset>
                </wp:positionH>
                <wp:positionV relativeFrom="margin">
                  <wp:align>top</wp:align>
                </wp:positionV>
                <wp:extent cx="7865745" cy="5418161"/>
                <wp:effectExtent l="0" t="0" r="1905" b="0"/>
                <wp:wrapNone/>
                <wp:docPr id="20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65745" cy="5418161"/>
                        </a:xfrm>
                        <a:prstGeom prst="rect">
                          <a:avLst/>
                        </a:prstGeom>
                        <a:solidFill>
                          <a:srgbClr val="0099CD"/>
                        </a:solidFill>
                        <a:ln>
                          <a:noFill/>
                        </a:ln>
                        <a:effectLst/>
                      </wps:spPr>
                      <wps:txbx>
                        <w:txbxContent>
                          <w:p w14:paraId="67A25FC1" w14:textId="77777777" w:rsidR="00DB0C02" w:rsidRPr="008230FF" w:rsidRDefault="00DB0C02" w:rsidP="00DB0C02">
                            <w:pPr>
                              <w:rPr>
                                <w:b/>
                                <w:bCs/>
                                <w:color w:val="0F3451"/>
                                <w:spacing w:val="-4"/>
                                <w:sz w:val="44"/>
                                <w:szCs w:val="44"/>
                                <w:lang w:val="en-US"/>
                              </w:rPr>
                            </w:pPr>
                            <w:r w:rsidRPr="008230FF">
                              <w:rPr>
                                <w:b/>
                                <w:bCs/>
                                <w:color w:val="0F3451"/>
                                <w:spacing w:val="-4"/>
                                <w:sz w:val="44"/>
                                <w:szCs w:val="44"/>
                                <w:lang w:val="en-US"/>
                              </w:rPr>
                              <w:t xml:space="preserve">Orchard Street </w:t>
                            </w:r>
                            <w:r>
                              <w:rPr>
                                <w:b/>
                                <w:bCs/>
                                <w:color w:val="0F3451"/>
                                <w:spacing w:val="-4"/>
                                <w:sz w:val="44"/>
                                <w:szCs w:val="44"/>
                                <w:lang w:val="en-US"/>
                              </w:rPr>
                              <w:t xml:space="preserve">UK </w:t>
                            </w:r>
                            <w:r w:rsidRPr="008230FF">
                              <w:rPr>
                                <w:b/>
                                <w:bCs/>
                                <w:color w:val="0F3451"/>
                                <w:spacing w:val="-4"/>
                                <w:sz w:val="44"/>
                                <w:szCs w:val="44"/>
                                <w:lang w:val="en-US"/>
                              </w:rPr>
                              <w:t>Property Impact Partnership</w:t>
                            </w:r>
                          </w:p>
                          <w:p w14:paraId="18D9B863" w14:textId="77777777" w:rsidR="00DB0C02" w:rsidRDefault="00DB0C02" w:rsidP="00DB0C02">
                            <w:pPr>
                              <w:spacing w:line="360" w:lineRule="exact"/>
                              <w:rPr>
                                <w:color w:val="FFFFFF" w:themeColor="background1"/>
                                <w:spacing w:val="-4"/>
                                <w:sz w:val="44"/>
                                <w:szCs w:val="44"/>
                                <w:lang w:val="en-US"/>
                              </w:rPr>
                            </w:pPr>
                          </w:p>
                          <w:p w14:paraId="73837020" w14:textId="048E3FB5" w:rsidR="00DB0C02" w:rsidRDefault="00DB0C02" w:rsidP="00DB0C02">
                            <w:pPr>
                              <w:rPr>
                                <w:rFonts w:ascii="Calibri" w:eastAsia="Arial" w:hAnsi="Calibri" w:cs="Calibri"/>
                                <w:b/>
                                <w:bCs/>
                                <w:color w:val="FFFFFF" w:themeColor="background1"/>
                                <w:kern w:val="24"/>
                                <w:sz w:val="26"/>
                                <w:szCs w:val="26"/>
                                <w:lang w:val="en-AU"/>
                              </w:rPr>
                            </w:pPr>
                            <w:r w:rsidRPr="009400A7">
                              <w:rPr>
                                <w:rFonts w:ascii="Calibri" w:eastAsia="Arial" w:hAnsi="Calibri" w:cs="Calibri"/>
                                <w:b/>
                                <w:bCs/>
                                <w:color w:val="FFFFFF" w:themeColor="background1"/>
                                <w:kern w:val="24"/>
                                <w:sz w:val="26"/>
                                <w:szCs w:val="26"/>
                                <w:lang w:val="en-AU"/>
                              </w:rPr>
                              <w:t xml:space="preserve">A responsible real estate investment manager </w:t>
                            </w:r>
                          </w:p>
                          <w:p w14:paraId="602EBC39" w14:textId="77777777" w:rsidR="00A86120" w:rsidRDefault="00A86120" w:rsidP="00DB0C02">
                            <w:pPr>
                              <w:rPr>
                                <w:rFonts w:ascii="Calibri" w:eastAsia="Arial" w:hAnsi="Calibri" w:cs="Calibri"/>
                                <w:b/>
                                <w:bCs/>
                                <w:color w:val="FFFFFF" w:themeColor="background1"/>
                                <w:kern w:val="24"/>
                                <w:sz w:val="26"/>
                                <w:szCs w:val="26"/>
                                <w:lang w:val="en-AU"/>
                              </w:rPr>
                            </w:pPr>
                          </w:p>
                          <w:p w14:paraId="14716461" w14:textId="77777777" w:rsidR="00DB0C02" w:rsidRPr="0091112E" w:rsidRDefault="00DB0C02" w:rsidP="00DB0C02">
                            <w:pPr>
                              <w:pStyle w:val="ListParagraph"/>
                              <w:numPr>
                                <w:ilvl w:val="0"/>
                                <w:numId w:val="1"/>
                              </w:numPr>
                              <w:spacing w:after="160" w:line="259" w:lineRule="auto"/>
                              <w:ind w:left="426" w:hanging="426"/>
                              <w:contextualSpacing w:val="0"/>
                              <w:rPr>
                                <w:rFonts w:ascii="Calibri" w:hAnsi="Calibri" w:cs="Calibri"/>
                                <w:color w:val="FFFFFF" w:themeColor="background1"/>
                                <w:sz w:val="26"/>
                                <w:szCs w:val="26"/>
                              </w:rPr>
                            </w:pPr>
                            <w:r>
                              <w:rPr>
                                <w:rFonts w:ascii="Calibri" w:hAnsi="Calibri" w:cs="Calibri"/>
                                <w:color w:val="FFFFFF" w:themeColor="background1"/>
                                <w:sz w:val="26"/>
                                <w:szCs w:val="26"/>
                              </w:rPr>
                              <w:t xml:space="preserve">100% of responsible investing targets met in 2020 </w:t>
                            </w:r>
                          </w:p>
                          <w:p w14:paraId="5D248E51" w14:textId="77777777" w:rsidR="00DB0C02" w:rsidRPr="009400A7" w:rsidRDefault="00DB0C02" w:rsidP="00DB0C02">
                            <w:pPr>
                              <w:pStyle w:val="ListParagraph"/>
                              <w:numPr>
                                <w:ilvl w:val="0"/>
                                <w:numId w:val="1"/>
                              </w:numPr>
                              <w:spacing w:after="160" w:line="259" w:lineRule="auto"/>
                              <w:ind w:left="426" w:hanging="426"/>
                              <w:contextualSpacing w:val="0"/>
                              <w:rPr>
                                <w:rFonts w:ascii="Calibri" w:hAnsi="Calibri" w:cs="Calibri"/>
                                <w:color w:val="FFFFFF" w:themeColor="background1"/>
                                <w:sz w:val="26"/>
                                <w:szCs w:val="26"/>
                              </w:rPr>
                            </w:pPr>
                            <w:r w:rsidRPr="009400A7">
                              <w:rPr>
                                <w:rFonts w:ascii="Calibri" w:eastAsia="Arial" w:hAnsi="Calibri" w:cs="Calibri"/>
                                <w:color w:val="FFFFFF" w:themeColor="background1"/>
                                <w:kern w:val="24"/>
                                <w:sz w:val="26"/>
                                <w:szCs w:val="26"/>
                                <w:lang w:val="en-AU"/>
                              </w:rPr>
                              <w:t xml:space="preserve">First </w:t>
                            </w:r>
                            <w:r>
                              <w:rPr>
                                <w:rFonts w:ascii="Calibri" w:eastAsia="Arial" w:hAnsi="Calibri" w:cs="Calibri"/>
                                <w:color w:val="FFFFFF" w:themeColor="background1"/>
                                <w:kern w:val="24"/>
                                <w:sz w:val="26"/>
                                <w:szCs w:val="26"/>
                                <w:lang w:val="en-AU"/>
                              </w:rPr>
                              <w:t xml:space="preserve">UK refurbished building to receive </w:t>
                            </w:r>
                            <w:r w:rsidRPr="009400A7">
                              <w:rPr>
                                <w:rFonts w:ascii="Calibri" w:eastAsia="Arial" w:hAnsi="Calibri" w:cs="Calibri"/>
                                <w:color w:val="FFFFFF" w:themeColor="background1"/>
                                <w:kern w:val="24"/>
                                <w:sz w:val="26"/>
                                <w:szCs w:val="26"/>
                                <w:lang w:val="en-AU"/>
                              </w:rPr>
                              <w:t>WELL</w:t>
                            </w:r>
                            <w:r>
                              <w:rPr>
                                <w:rFonts w:ascii="Calibri" w:eastAsia="Arial" w:hAnsi="Calibri" w:cs="Calibri"/>
                                <w:color w:val="FFFFFF" w:themeColor="background1"/>
                                <w:kern w:val="24"/>
                                <w:sz w:val="26"/>
                                <w:szCs w:val="26"/>
                                <w:lang w:val="en-AU"/>
                              </w:rPr>
                              <w:t xml:space="preserve"> Gold Shell &amp; Core certification</w:t>
                            </w:r>
                          </w:p>
                          <w:p w14:paraId="5E74924A" w14:textId="77777777" w:rsidR="00DB0C02" w:rsidRPr="009400A7" w:rsidRDefault="00DB0C02" w:rsidP="00DB0C02">
                            <w:pPr>
                              <w:pStyle w:val="ListParagraph"/>
                              <w:numPr>
                                <w:ilvl w:val="0"/>
                                <w:numId w:val="1"/>
                              </w:numPr>
                              <w:spacing w:after="160" w:line="259" w:lineRule="auto"/>
                              <w:ind w:left="426" w:hanging="426"/>
                              <w:contextualSpacing w:val="0"/>
                              <w:rPr>
                                <w:rFonts w:ascii="Calibri" w:hAnsi="Calibri" w:cs="Calibri"/>
                                <w:color w:val="FFFFFF" w:themeColor="background1"/>
                                <w:sz w:val="26"/>
                                <w:szCs w:val="26"/>
                              </w:rPr>
                            </w:pPr>
                            <w:r w:rsidRPr="009400A7">
                              <w:rPr>
                                <w:rFonts w:ascii="Calibri" w:eastAsia="Arial" w:hAnsi="Calibri" w:cs="Calibri"/>
                                <w:color w:val="FFFFFF" w:themeColor="background1"/>
                                <w:kern w:val="24"/>
                                <w:sz w:val="26"/>
                                <w:szCs w:val="26"/>
                                <w:lang w:val="en-AU"/>
                              </w:rPr>
                              <w:t xml:space="preserve">First carbon neutral in operation industrial site in </w:t>
                            </w:r>
                            <w:r>
                              <w:rPr>
                                <w:rFonts w:ascii="Calibri" w:eastAsia="Arial" w:hAnsi="Calibri" w:cs="Calibri"/>
                                <w:color w:val="FFFFFF" w:themeColor="background1"/>
                                <w:kern w:val="24"/>
                                <w:sz w:val="26"/>
                                <w:szCs w:val="26"/>
                                <w:lang w:val="en-AU"/>
                              </w:rPr>
                              <w:t>w</w:t>
                            </w:r>
                            <w:r w:rsidRPr="009400A7">
                              <w:rPr>
                                <w:rFonts w:ascii="Calibri" w:eastAsia="Arial" w:hAnsi="Calibri" w:cs="Calibri"/>
                                <w:color w:val="FFFFFF" w:themeColor="background1"/>
                                <w:kern w:val="24"/>
                                <w:sz w:val="26"/>
                                <w:szCs w:val="26"/>
                                <w:lang w:val="en-AU"/>
                              </w:rPr>
                              <w:t>est London</w:t>
                            </w:r>
                          </w:p>
                          <w:p w14:paraId="391D0B0F" w14:textId="77777777" w:rsidR="00DB0C02" w:rsidRPr="009400A7" w:rsidRDefault="00DB0C02" w:rsidP="00DB0C02">
                            <w:pPr>
                              <w:pStyle w:val="ListParagraph"/>
                              <w:ind w:left="426"/>
                              <w:rPr>
                                <w:rFonts w:ascii="Calibri" w:hAnsi="Calibri" w:cs="Calibri"/>
                                <w:color w:val="FFFFFF" w:themeColor="background1"/>
                                <w:sz w:val="26"/>
                                <w:szCs w:val="26"/>
                              </w:rPr>
                            </w:pPr>
                          </w:p>
                          <w:p w14:paraId="2A3E00B0" w14:textId="7BF7BCC2" w:rsidR="00DB0C02" w:rsidRDefault="00DB0C02" w:rsidP="00DB0C02">
                            <w:pPr>
                              <w:rPr>
                                <w:rFonts w:ascii="Calibri" w:eastAsia="Arial" w:hAnsi="Calibri" w:cs="Calibri"/>
                                <w:b/>
                                <w:bCs/>
                                <w:color w:val="FFFFFF" w:themeColor="background1"/>
                                <w:kern w:val="24"/>
                                <w:sz w:val="26"/>
                                <w:szCs w:val="26"/>
                                <w:lang w:val="en-AU"/>
                              </w:rPr>
                            </w:pPr>
                            <w:r w:rsidRPr="009400A7">
                              <w:rPr>
                                <w:rFonts w:ascii="Calibri" w:eastAsia="Arial" w:hAnsi="Calibri" w:cs="Calibri"/>
                                <w:b/>
                                <w:bCs/>
                                <w:color w:val="FFFFFF" w:themeColor="background1"/>
                                <w:kern w:val="24"/>
                                <w:sz w:val="26"/>
                                <w:szCs w:val="26"/>
                                <w:lang w:val="en-AU"/>
                              </w:rPr>
                              <w:t xml:space="preserve">Founded in 2004 </w:t>
                            </w:r>
                          </w:p>
                          <w:p w14:paraId="6A114773" w14:textId="77777777" w:rsidR="00A86120" w:rsidRPr="009400A7" w:rsidRDefault="00A86120" w:rsidP="00DB0C02">
                            <w:pPr>
                              <w:rPr>
                                <w:rFonts w:ascii="Calibri" w:hAnsi="Calibri" w:cs="Calibri"/>
                                <w:b/>
                                <w:bCs/>
                                <w:color w:val="FFFFFF" w:themeColor="background1"/>
                                <w:sz w:val="26"/>
                                <w:szCs w:val="26"/>
                              </w:rPr>
                            </w:pPr>
                          </w:p>
                          <w:p w14:paraId="27AD294B" w14:textId="77777777" w:rsidR="00DB0C02" w:rsidRPr="009400A7" w:rsidRDefault="00DB0C02" w:rsidP="00DB0C02">
                            <w:pPr>
                              <w:pStyle w:val="ListParagraph"/>
                              <w:numPr>
                                <w:ilvl w:val="0"/>
                                <w:numId w:val="1"/>
                              </w:numPr>
                              <w:spacing w:after="160" w:line="259" w:lineRule="auto"/>
                              <w:ind w:left="426" w:hanging="426"/>
                              <w:contextualSpacing w:val="0"/>
                              <w:rPr>
                                <w:rFonts w:ascii="Calibri" w:hAnsi="Calibri" w:cs="Calibri"/>
                                <w:color w:val="FFFFFF" w:themeColor="background1"/>
                                <w:sz w:val="26"/>
                                <w:szCs w:val="26"/>
                              </w:rPr>
                            </w:pPr>
                            <w:r w:rsidRPr="009400A7">
                              <w:rPr>
                                <w:rFonts w:ascii="Calibri" w:eastAsia="Arial" w:hAnsi="Calibri" w:cs="Calibri"/>
                                <w:color w:val="FFFFFF" w:themeColor="background1"/>
                                <w:kern w:val="24"/>
                                <w:sz w:val="26"/>
                                <w:szCs w:val="26"/>
                                <w:lang w:val="en-AU"/>
                              </w:rPr>
                              <w:t>We only invest in real estate, c£4bn in AUM*</w:t>
                            </w:r>
                          </w:p>
                          <w:p w14:paraId="3915F56B" w14:textId="77777777" w:rsidR="00DB0C02" w:rsidRPr="009400A7" w:rsidRDefault="00DB0C02" w:rsidP="00DB0C02">
                            <w:pPr>
                              <w:pStyle w:val="ListParagraph"/>
                              <w:numPr>
                                <w:ilvl w:val="0"/>
                                <w:numId w:val="1"/>
                              </w:numPr>
                              <w:spacing w:after="160" w:line="259" w:lineRule="auto"/>
                              <w:ind w:left="426" w:hanging="426"/>
                              <w:contextualSpacing w:val="0"/>
                              <w:rPr>
                                <w:rFonts w:ascii="Calibri" w:hAnsi="Calibri" w:cs="Calibri"/>
                                <w:color w:val="FFFFFF" w:themeColor="background1"/>
                                <w:sz w:val="26"/>
                                <w:szCs w:val="26"/>
                              </w:rPr>
                            </w:pPr>
                            <w:r w:rsidRPr="009400A7">
                              <w:rPr>
                                <w:rFonts w:ascii="Calibri" w:eastAsia="Arial" w:hAnsi="Calibri" w:cs="Calibri"/>
                                <w:color w:val="FFFFFF" w:themeColor="background1"/>
                                <w:kern w:val="24"/>
                                <w:sz w:val="26"/>
                                <w:szCs w:val="26"/>
                                <w:lang w:val="en-AU"/>
                              </w:rPr>
                              <w:t>1</w:t>
                            </w:r>
                            <w:r>
                              <w:rPr>
                                <w:rFonts w:ascii="Calibri" w:eastAsia="Arial" w:hAnsi="Calibri" w:cs="Calibri"/>
                                <w:color w:val="FFFFFF" w:themeColor="background1"/>
                                <w:kern w:val="24"/>
                                <w:sz w:val="26"/>
                                <w:szCs w:val="26"/>
                                <w:lang w:val="en-AU"/>
                              </w:rPr>
                              <w:t>6</w:t>
                            </w:r>
                            <w:r w:rsidRPr="009400A7">
                              <w:rPr>
                                <w:rFonts w:ascii="Calibri" w:eastAsia="Arial" w:hAnsi="Calibri" w:cs="Calibri"/>
                                <w:color w:val="FFFFFF" w:themeColor="background1"/>
                                <w:kern w:val="24"/>
                                <w:sz w:val="26"/>
                                <w:szCs w:val="26"/>
                                <w:lang w:val="en-AU"/>
                              </w:rPr>
                              <w:t xml:space="preserve"> years of driving consistent outperformance for our small stable of world class investors</w:t>
                            </w:r>
                          </w:p>
                          <w:p w14:paraId="1A74D52D" w14:textId="77777777" w:rsidR="00DB0C02" w:rsidRPr="009400A7" w:rsidRDefault="00DB0C02" w:rsidP="00DB0C02">
                            <w:pPr>
                              <w:pStyle w:val="ListParagraph"/>
                              <w:numPr>
                                <w:ilvl w:val="0"/>
                                <w:numId w:val="1"/>
                              </w:numPr>
                              <w:spacing w:after="160" w:line="259" w:lineRule="auto"/>
                              <w:ind w:left="426" w:hanging="426"/>
                              <w:contextualSpacing w:val="0"/>
                              <w:rPr>
                                <w:rFonts w:ascii="Calibri" w:hAnsi="Calibri" w:cs="Calibri"/>
                                <w:color w:val="FFFFFF" w:themeColor="background1"/>
                                <w:sz w:val="26"/>
                                <w:szCs w:val="26"/>
                              </w:rPr>
                            </w:pPr>
                            <w:r w:rsidRPr="009400A7">
                              <w:rPr>
                                <w:rFonts w:ascii="Calibri" w:eastAsia="Arial" w:hAnsi="Calibri" w:cs="Calibri"/>
                                <w:color w:val="FFFFFF" w:themeColor="background1"/>
                                <w:kern w:val="24"/>
                                <w:sz w:val="26"/>
                                <w:szCs w:val="26"/>
                                <w:lang w:val="en-AU"/>
                              </w:rPr>
                              <w:t>Strong track record executing investment programmes</w:t>
                            </w:r>
                          </w:p>
                          <w:p w14:paraId="0F22E7E2" w14:textId="77777777" w:rsidR="00DB0C02" w:rsidRPr="009400A7" w:rsidRDefault="00DB0C02" w:rsidP="00DB0C02">
                            <w:pPr>
                              <w:pStyle w:val="ListParagraph"/>
                              <w:numPr>
                                <w:ilvl w:val="0"/>
                                <w:numId w:val="1"/>
                              </w:numPr>
                              <w:spacing w:after="160" w:line="259" w:lineRule="auto"/>
                              <w:ind w:left="426" w:hanging="426"/>
                              <w:contextualSpacing w:val="0"/>
                              <w:rPr>
                                <w:rFonts w:ascii="Calibri" w:hAnsi="Calibri" w:cs="Calibri"/>
                                <w:color w:val="FFFFFF" w:themeColor="background1"/>
                                <w:sz w:val="26"/>
                                <w:szCs w:val="26"/>
                              </w:rPr>
                            </w:pPr>
                            <w:r w:rsidRPr="009400A7">
                              <w:rPr>
                                <w:rFonts w:ascii="Calibri" w:eastAsia="Arial" w:hAnsi="Calibri" w:cs="Calibri"/>
                                <w:color w:val="FFFFFF" w:themeColor="background1"/>
                                <w:kern w:val="24"/>
                                <w:sz w:val="26"/>
                                <w:szCs w:val="26"/>
                                <w:lang w:val="en-AU"/>
                              </w:rPr>
                              <w:t>c.£3bn invested over last 7 years and more than £1bn sold</w:t>
                            </w:r>
                          </w:p>
                          <w:p w14:paraId="492675FC" w14:textId="77777777" w:rsidR="00DB0C02" w:rsidRPr="009400A7" w:rsidRDefault="00DB0C02" w:rsidP="00DB0C02">
                            <w:pPr>
                              <w:pStyle w:val="ListParagraph"/>
                              <w:numPr>
                                <w:ilvl w:val="0"/>
                                <w:numId w:val="1"/>
                              </w:numPr>
                              <w:spacing w:after="160" w:line="259" w:lineRule="auto"/>
                              <w:ind w:left="426" w:hanging="426"/>
                              <w:contextualSpacing w:val="0"/>
                              <w:rPr>
                                <w:rFonts w:ascii="Calibri" w:hAnsi="Calibri" w:cs="Calibri"/>
                                <w:color w:val="FFFFFF" w:themeColor="background1"/>
                                <w:sz w:val="26"/>
                                <w:szCs w:val="26"/>
                              </w:rPr>
                            </w:pPr>
                            <w:r w:rsidRPr="009400A7">
                              <w:rPr>
                                <w:rFonts w:ascii="Calibri" w:eastAsia="Arial" w:hAnsi="Calibri" w:cs="Calibri"/>
                                <w:color w:val="FFFFFF" w:themeColor="background1"/>
                                <w:kern w:val="24"/>
                                <w:sz w:val="26"/>
                                <w:szCs w:val="26"/>
                                <w:lang w:val="en-AU"/>
                              </w:rPr>
                              <w:t xml:space="preserve">Partners financially aligned with our clients’ interests   </w:t>
                            </w:r>
                          </w:p>
                          <w:p w14:paraId="638916D1" w14:textId="33EEF30D" w:rsidR="00DB0C02" w:rsidRDefault="00DB0C02" w:rsidP="00DB0C02">
                            <w:pPr>
                              <w:pStyle w:val="ListParagraph"/>
                              <w:numPr>
                                <w:ilvl w:val="0"/>
                                <w:numId w:val="1"/>
                              </w:numPr>
                              <w:spacing w:after="160" w:line="259" w:lineRule="auto"/>
                              <w:ind w:left="426" w:hanging="426"/>
                              <w:contextualSpacing w:val="0"/>
                              <w:rPr>
                                <w:rFonts w:ascii="Calibri" w:eastAsia="Arial" w:hAnsi="Calibri" w:cs="Calibri"/>
                                <w:color w:val="FFFFFF" w:themeColor="background1"/>
                                <w:kern w:val="24"/>
                                <w:sz w:val="26"/>
                                <w:szCs w:val="26"/>
                                <w:lang w:val="en-AU"/>
                              </w:rPr>
                            </w:pPr>
                            <w:r w:rsidRPr="009400A7">
                              <w:rPr>
                                <w:rFonts w:ascii="Calibri" w:eastAsia="Arial" w:hAnsi="Calibri" w:cs="Calibri"/>
                                <w:color w:val="FFFFFF" w:themeColor="background1"/>
                                <w:kern w:val="24"/>
                                <w:sz w:val="26"/>
                                <w:szCs w:val="26"/>
                                <w:lang w:val="en-AU"/>
                              </w:rPr>
                              <w:t>Single investment committee delivers consistency across all mandates through cycles</w:t>
                            </w:r>
                          </w:p>
                          <w:p w14:paraId="70EEFF41" w14:textId="77777777" w:rsidR="00A86120" w:rsidRPr="009400A7" w:rsidRDefault="00A86120" w:rsidP="00A86120">
                            <w:pPr>
                              <w:pStyle w:val="ListParagraph"/>
                              <w:spacing w:after="160" w:line="259" w:lineRule="auto"/>
                              <w:ind w:left="426"/>
                              <w:contextualSpacing w:val="0"/>
                              <w:rPr>
                                <w:rFonts w:ascii="Calibri" w:eastAsia="Arial" w:hAnsi="Calibri" w:cs="Calibri"/>
                                <w:color w:val="FFFFFF" w:themeColor="background1"/>
                                <w:kern w:val="24"/>
                                <w:sz w:val="26"/>
                                <w:szCs w:val="26"/>
                                <w:lang w:val="en-AU"/>
                              </w:rPr>
                            </w:pPr>
                          </w:p>
                          <w:p w14:paraId="1D3D3AB3" w14:textId="77777777" w:rsidR="00DB0C02" w:rsidRPr="009400A7" w:rsidRDefault="00DB0C02" w:rsidP="00DB0C02">
                            <w:pPr>
                              <w:pStyle w:val="ListParagraph"/>
                              <w:numPr>
                                <w:ilvl w:val="0"/>
                                <w:numId w:val="1"/>
                              </w:numPr>
                              <w:spacing w:after="160" w:line="259" w:lineRule="auto"/>
                              <w:ind w:left="426" w:hanging="426"/>
                              <w:contextualSpacing w:val="0"/>
                              <w:rPr>
                                <w:rFonts w:ascii="Calibri" w:eastAsia="Arial" w:hAnsi="Calibri" w:cs="Calibri"/>
                                <w:color w:val="FFFFFF" w:themeColor="background1"/>
                                <w:kern w:val="24"/>
                                <w:sz w:val="26"/>
                                <w:szCs w:val="26"/>
                                <w:lang w:val="en-AU"/>
                              </w:rPr>
                            </w:pPr>
                            <w:r w:rsidRPr="009400A7">
                              <w:rPr>
                                <w:rFonts w:ascii="Calibri" w:eastAsia="Arial" w:hAnsi="Calibri" w:cs="Calibri"/>
                                <w:color w:val="FFFFFF" w:themeColor="background1"/>
                                <w:kern w:val="24"/>
                                <w:sz w:val="26"/>
                                <w:szCs w:val="26"/>
                                <w:lang w:val="en-AU"/>
                              </w:rPr>
                              <w:t>Reputation for shrewd stock selection and forensic asset management</w:t>
                            </w:r>
                          </w:p>
                          <w:p w14:paraId="5101B8A6" w14:textId="77777777" w:rsidR="00DB0C02" w:rsidRDefault="00DB0C02" w:rsidP="00DB0C02">
                            <w:pPr>
                              <w:rPr>
                                <w:rFonts w:ascii="Calibri" w:eastAsia="Arial" w:hAnsi="Calibri" w:cs="Calibri"/>
                                <w:color w:val="000000" w:themeColor="text1"/>
                                <w:kern w:val="24"/>
                                <w:sz w:val="26"/>
                                <w:szCs w:val="26"/>
                                <w:lang w:val="en-AU"/>
                              </w:rPr>
                            </w:pPr>
                          </w:p>
                          <w:p w14:paraId="4A15870E" w14:textId="77777777" w:rsidR="00DB0C02" w:rsidRPr="009400A7" w:rsidRDefault="00DB0C02" w:rsidP="00DB0C02">
                            <w:pPr>
                              <w:rPr>
                                <w:rFonts w:ascii="Calibri" w:eastAsia="Arial" w:hAnsi="Calibri" w:cs="Calibri"/>
                                <w:color w:val="FFFFFF" w:themeColor="background1"/>
                                <w:kern w:val="24"/>
                                <w:sz w:val="18"/>
                                <w:szCs w:val="18"/>
                              </w:rPr>
                            </w:pPr>
                            <w:r w:rsidRPr="009400A7">
                              <w:rPr>
                                <w:rFonts w:ascii="Calibri" w:eastAsia="Arial" w:hAnsi="Calibri" w:cs="Calibri"/>
                                <w:color w:val="FFFFFF" w:themeColor="background1"/>
                                <w:kern w:val="24"/>
                                <w:sz w:val="18"/>
                                <w:szCs w:val="18"/>
                              </w:rPr>
                              <w:t>*AUM as at 31 December 2020 and represents the aggregate of the net asset values of client assets under management, measured under the individual client’s reporting GAAP (“Generally Accepted Accounting Principles”), with the addition of undrawn committed capital.</w:t>
                            </w:r>
                          </w:p>
                          <w:p w14:paraId="36EAFA41" w14:textId="77777777" w:rsidR="00DB0C02" w:rsidRPr="008230FF" w:rsidRDefault="00DB0C02" w:rsidP="00DB0C02">
                            <w:pPr>
                              <w:rPr>
                                <w:rFonts w:ascii="Calibri" w:eastAsia="Arial" w:hAnsi="Calibri" w:cs="Calibri"/>
                                <w:color w:val="000000" w:themeColor="text1"/>
                                <w:kern w:val="24"/>
                                <w:sz w:val="18"/>
                                <w:szCs w:val="18"/>
                                <w:lang w:val="en-AU"/>
                              </w:rPr>
                            </w:pPr>
                          </w:p>
                          <w:p w14:paraId="6F8F651B" w14:textId="77777777" w:rsidR="00DB0C02" w:rsidRPr="008230FF" w:rsidRDefault="00DB0C02" w:rsidP="00DB0C02">
                            <w:pPr>
                              <w:spacing w:line="360" w:lineRule="exact"/>
                              <w:rPr>
                                <w:color w:val="FFFFFF" w:themeColor="background1"/>
                                <w:spacing w:val="-4"/>
                                <w:sz w:val="18"/>
                                <w:szCs w:val="18"/>
                                <w:lang w:val="en-US"/>
                              </w:rPr>
                            </w:pPr>
                          </w:p>
                          <w:p w14:paraId="6B26A050" w14:textId="77777777" w:rsidR="00DB0C02" w:rsidRDefault="00DB0C02" w:rsidP="00DB0C02">
                            <w:pPr>
                              <w:rPr>
                                <w:rFonts w:ascii="Calibri" w:hAnsi="Calibri" w:cs="Calibri"/>
                                <w:color w:val="FFFFFF" w:themeColor="background1"/>
                              </w:rPr>
                            </w:pPr>
                          </w:p>
                          <w:p w14:paraId="43E0FF4B" w14:textId="77777777" w:rsidR="00DB0C02" w:rsidRDefault="00DB0C02" w:rsidP="00DB0C02">
                            <w:pPr>
                              <w:rPr>
                                <w:rFonts w:ascii="Calibri" w:hAnsi="Calibri" w:cs="Calibri"/>
                                <w:color w:val="FFFFFF" w:themeColor="background1"/>
                              </w:rPr>
                            </w:pPr>
                          </w:p>
                          <w:p w14:paraId="29AEBF2F" w14:textId="77777777" w:rsidR="00DB0C02" w:rsidRDefault="00DB0C02" w:rsidP="00DB0C02">
                            <w:pPr>
                              <w:rPr>
                                <w:rFonts w:ascii="Calibri" w:hAnsi="Calibri" w:cs="Calibri"/>
                                <w:color w:val="FFFFFF" w:themeColor="background1"/>
                              </w:rPr>
                            </w:pPr>
                          </w:p>
                          <w:p w14:paraId="2FE926DF" w14:textId="77777777" w:rsidR="00DB0C02" w:rsidRPr="00D63D3E" w:rsidRDefault="00DB0C02" w:rsidP="00DB0C02">
                            <w:pPr>
                              <w:spacing w:before="80"/>
                              <w:rPr>
                                <w:rFonts w:ascii="Calibri" w:hAnsi="Calibri" w:cs="Calibri"/>
                                <w:color w:val="FFFFFF" w:themeColor="background1"/>
                                <w:sz w:val="18"/>
                                <w:szCs w:val="18"/>
                              </w:rPr>
                            </w:pPr>
                            <w:r w:rsidRPr="00D63D3E">
                              <w:rPr>
                                <w:rFonts w:ascii="Calibri" w:hAnsi="Calibri" w:cs="Calibri"/>
                                <w:color w:val="FFFFFF" w:themeColor="background1"/>
                                <w:sz w:val="18"/>
                                <w:szCs w:val="18"/>
                              </w:rPr>
                              <w:t>*AUM as at 31 December 2019 and represents the aggregate of the net asset values of client assets under management, measured under the individual client’s reporting GAAP (“Generally Accepted Accounting Principles”), with the addition of undrawn committed capital.</w:t>
                            </w:r>
                          </w:p>
                          <w:p w14:paraId="1E8506B7" w14:textId="77777777" w:rsidR="00DB0C02" w:rsidRPr="00D63D3E" w:rsidRDefault="00DB0C02" w:rsidP="00DB0C02">
                            <w:pPr>
                              <w:spacing w:line="360" w:lineRule="exact"/>
                              <w:rPr>
                                <w:color w:val="FFFFFF" w:themeColor="background1"/>
                                <w:spacing w:val="-4"/>
                                <w:sz w:val="44"/>
                                <w:szCs w:val="44"/>
                                <w:lang w:val="en-US"/>
                              </w:rPr>
                            </w:pPr>
                          </w:p>
                        </w:txbxContent>
                      </wps:txbx>
                      <wps:bodyPr rot="0" spcFirstLastPara="0" vertOverflow="overflow" horzOverflow="overflow" vert="horz" wrap="square" lIns="469800" tIns="432000" rIns="471600" bIns="234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5249C1" id="_x0000_t202" coordsize="21600,21600" o:spt="202" path="m,l,21600r21600,l21600,xe">
                <v:stroke joinstyle="miter"/>
                <v:path gradientshapeok="t" o:connecttype="rect"/>
              </v:shapetype>
              <v:shape id="Text Box 12" o:spid="_x0000_s1026" type="#_x0000_t202" style="position:absolute;left:0;text-align:left;margin-left:-24.7pt;margin-top:0;width:619.35pt;height:426.65pt;z-index:251664384;visibility:visible;mso-wrap-style:square;mso-width-percent:0;mso-height-percent:0;mso-wrap-distance-left:9pt;mso-wrap-distance-top:37.15pt;mso-wrap-distance-right:9pt;mso-wrap-distance-bottom:37.15pt;mso-position-horizontal:absolute;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" fillcolor="#0099cd" stroked="f">
                <v:textbox inset="13.05mm,12mm,13.1mm,6.5mm">
                  <w:txbxContent>
                    <w:p w14:paraId="67A25FC1" w14:textId="77777777" w:rsidR="00DB0C02" w:rsidRPr="008230FF" w:rsidRDefault="00DB0C02" w:rsidP="00DB0C02">
                      <w:pPr>
                        <w:rPr>
                          <w:b/>
                          <w:bCs/>
                          <w:color w:val="0F3451"/>
                          <w:spacing w:val="-4"/>
                          <w:sz w:val="44"/>
                          <w:szCs w:val="44"/>
                          <w:lang w:val="en-US"/>
                        </w:rPr>
                      </w:pPr>
                      <w:r w:rsidRPr="008230FF">
                        <w:rPr>
                          <w:b/>
                          <w:bCs/>
                          <w:color w:val="0F3451"/>
                          <w:spacing w:val="-4"/>
                          <w:sz w:val="44"/>
                          <w:szCs w:val="44"/>
                          <w:lang w:val="en-US"/>
                        </w:rPr>
                        <w:t xml:space="preserve">Orchard Street </w:t>
                      </w:r>
                      <w:r>
                        <w:rPr>
                          <w:b/>
                          <w:bCs/>
                          <w:color w:val="0F3451"/>
                          <w:spacing w:val="-4"/>
                          <w:sz w:val="44"/>
                          <w:szCs w:val="44"/>
                          <w:lang w:val="en-US"/>
                        </w:rPr>
                        <w:t xml:space="preserve">UK </w:t>
                      </w:r>
                      <w:r w:rsidRPr="008230FF">
                        <w:rPr>
                          <w:b/>
                          <w:bCs/>
                          <w:color w:val="0F3451"/>
                          <w:spacing w:val="-4"/>
                          <w:sz w:val="44"/>
                          <w:szCs w:val="44"/>
                          <w:lang w:val="en-US"/>
                        </w:rPr>
                        <w:t>Property Impact Partnership</w:t>
                      </w:r>
                    </w:p>
                    <w:p w14:paraId="18D9B863" w14:textId="77777777" w:rsidR="00DB0C02" w:rsidRDefault="00DB0C02" w:rsidP="00DB0C02">
                      <w:pPr>
                        <w:spacing w:line="360" w:lineRule="exact"/>
                        <w:rPr>
                          <w:color w:val="FFFFFF" w:themeColor="background1"/>
                          <w:spacing w:val="-4"/>
                          <w:sz w:val="44"/>
                          <w:szCs w:val="44"/>
                          <w:lang w:val="en-US"/>
                        </w:rPr>
                      </w:pPr>
                    </w:p>
                    <w:p w14:paraId="73837020" w14:textId="048E3FB5" w:rsidR="00DB0C02" w:rsidRDefault="00DB0C02" w:rsidP="00DB0C02">
                      <w:pPr>
                        <w:rPr>
                          <w:rFonts w:ascii="Calibri" w:eastAsia="Arial" w:hAnsi="Calibri" w:cs="Calibri"/>
                          <w:b/>
                          <w:bCs/>
                          <w:color w:val="FFFFFF" w:themeColor="background1"/>
                          <w:kern w:val="24"/>
                          <w:sz w:val="26"/>
                          <w:szCs w:val="26"/>
                          <w:lang w:val="en-AU"/>
                        </w:rPr>
                      </w:pPr>
                      <w:r w:rsidRPr="009400A7">
                        <w:rPr>
                          <w:rFonts w:ascii="Calibri" w:eastAsia="Arial" w:hAnsi="Calibri" w:cs="Calibri"/>
                          <w:b/>
                          <w:bCs/>
                          <w:color w:val="FFFFFF" w:themeColor="background1"/>
                          <w:kern w:val="24"/>
                          <w:sz w:val="26"/>
                          <w:szCs w:val="26"/>
                          <w:lang w:val="en-AU"/>
                        </w:rPr>
                        <w:t xml:space="preserve">A responsible real estate investment manager </w:t>
                      </w:r>
                    </w:p>
                    <w:p w14:paraId="602EBC39" w14:textId="77777777" w:rsidR="00A86120" w:rsidRDefault="00A86120" w:rsidP="00DB0C02">
                      <w:pPr>
                        <w:rPr>
                          <w:rFonts w:ascii="Calibri" w:eastAsia="Arial" w:hAnsi="Calibri" w:cs="Calibri"/>
                          <w:b/>
                          <w:bCs/>
                          <w:color w:val="FFFFFF" w:themeColor="background1"/>
                          <w:kern w:val="24"/>
                          <w:sz w:val="26"/>
                          <w:szCs w:val="26"/>
                          <w:lang w:val="en-AU"/>
                        </w:rPr>
                      </w:pPr>
                    </w:p>
                    <w:p w14:paraId="14716461" w14:textId="77777777" w:rsidR="00DB0C02" w:rsidRPr="0091112E" w:rsidRDefault="00DB0C02" w:rsidP="00DB0C02">
                      <w:pPr>
                        <w:pStyle w:val="ListParagraph"/>
                        <w:numPr>
                          <w:ilvl w:val="0"/>
                          <w:numId w:val="1"/>
                        </w:numPr>
                        <w:spacing w:after="160" w:line="259" w:lineRule="auto"/>
                        <w:ind w:left="426" w:hanging="426"/>
                        <w:contextualSpacing w:val="0"/>
                        <w:rPr>
                          <w:rFonts w:ascii="Calibri" w:hAnsi="Calibri" w:cs="Calibri"/>
                          <w:color w:val="FFFFFF" w:themeColor="background1"/>
                          <w:sz w:val="26"/>
                          <w:szCs w:val="26"/>
                        </w:rPr>
                      </w:pPr>
                      <w:r>
                        <w:rPr>
                          <w:rFonts w:ascii="Calibri" w:hAnsi="Calibri" w:cs="Calibri"/>
                          <w:color w:val="FFFFFF" w:themeColor="background1"/>
                          <w:sz w:val="26"/>
                          <w:szCs w:val="26"/>
                        </w:rPr>
                        <w:t xml:space="preserve">100% of responsible investing targets met in 2020 </w:t>
                      </w:r>
                    </w:p>
                    <w:p w14:paraId="5D248E51" w14:textId="77777777" w:rsidR="00DB0C02" w:rsidRPr="009400A7" w:rsidRDefault="00DB0C02" w:rsidP="00DB0C02">
                      <w:pPr>
                        <w:pStyle w:val="ListParagraph"/>
                        <w:numPr>
                          <w:ilvl w:val="0"/>
                          <w:numId w:val="1"/>
                        </w:numPr>
                        <w:spacing w:after="160" w:line="259" w:lineRule="auto"/>
                        <w:ind w:left="426" w:hanging="426"/>
                        <w:contextualSpacing w:val="0"/>
                        <w:rPr>
                          <w:rFonts w:ascii="Calibri" w:hAnsi="Calibri" w:cs="Calibri"/>
                          <w:color w:val="FFFFFF" w:themeColor="background1"/>
                          <w:sz w:val="26"/>
                          <w:szCs w:val="26"/>
                        </w:rPr>
                      </w:pPr>
                      <w:r w:rsidRPr="009400A7">
                        <w:rPr>
                          <w:rFonts w:ascii="Calibri" w:eastAsia="Arial" w:hAnsi="Calibri" w:cs="Calibri"/>
                          <w:color w:val="FFFFFF" w:themeColor="background1"/>
                          <w:kern w:val="24"/>
                          <w:sz w:val="26"/>
                          <w:szCs w:val="26"/>
                          <w:lang w:val="en-AU"/>
                        </w:rPr>
                        <w:t xml:space="preserve">First </w:t>
                      </w:r>
                      <w:r>
                        <w:rPr>
                          <w:rFonts w:ascii="Calibri" w:eastAsia="Arial" w:hAnsi="Calibri" w:cs="Calibri"/>
                          <w:color w:val="FFFFFF" w:themeColor="background1"/>
                          <w:kern w:val="24"/>
                          <w:sz w:val="26"/>
                          <w:szCs w:val="26"/>
                          <w:lang w:val="en-AU"/>
                        </w:rPr>
                        <w:t xml:space="preserve">UK refurbished building to receive </w:t>
                      </w:r>
                      <w:r w:rsidRPr="009400A7">
                        <w:rPr>
                          <w:rFonts w:ascii="Calibri" w:eastAsia="Arial" w:hAnsi="Calibri" w:cs="Calibri"/>
                          <w:color w:val="FFFFFF" w:themeColor="background1"/>
                          <w:kern w:val="24"/>
                          <w:sz w:val="26"/>
                          <w:szCs w:val="26"/>
                          <w:lang w:val="en-AU"/>
                        </w:rPr>
                        <w:t>WELL</w:t>
                      </w:r>
                      <w:r>
                        <w:rPr>
                          <w:rFonts w:ascii="Calibri" w:eastAsia="Arial" w:hAnsi="Calibri" w:cs="Calibri"/>
                          <w:color w:val="FFFFFF" w:themeColor="background1"/>
                          <w:kern w:val="24"/>
                          <w:sz w:val="26"/>
                          <w:szCs w:val="26"/>
                          <w:lang w:val="en-AU"/>
                        </w:rPr>
                        <w:t xml:space="preserve"> Gold Shell &amp; Core certification</w:t>
                      </w:r>
                    </w:p>
                    <w:p w14:paraId="5E74924A" w14:textId="77777777" w:rsidR="00DB0C02" w:rsidRPr="009400A7" w:rsidRDefault="00DB0C02" w:rsidP="00DB0C02">
                      <w:pPr>
                        <w:pStyle w:val="ListParagraph"/>
                        <w:numPr>
                          <w:ilvl w:val="0"/>
                          <w:numId w:val="1"/>
                        </w:numPr>
                        <w:spacing w:after="160" w:line="259" w:lineRule="auto"/>
                        <w:ind w:left="426" w:hanging="426"/>
                        <w:contextualSpacing w:val="0"/>
                        <w:rPr>
                          <w:rFonts w:ascii="Calibri" w:hAnsi="Calibri" w:cs="Calibri"/>
                          <w:color w:val="FFFFFF" w:themeColor="background1"/>
                          <w:sz w:val="26"/>
                          <w:szCs w:val="26"/>
                        </w:rPr>
                      </w:pPr>
                      <w:r w:rsidRPr="009400A7">
                        <w:rPr>
                          <w:rFonts w:ascii="Calibri" w:eastAsia="Arial" w:hAnsi="Calibri" w:cs="Calibri"/>
                          <w:color w:val="FFFFFF" w:themeColor="background1"/>
                          <w:kern w:val="24"/>
                          <w:sz w:val="26"/>
                          <w:szCs w:val="26"/>
                          <w:lang w:val="en-AU"/>
                        </w:rPr>
                        <w:t xml:space="preserve">First carbon neutral in operation industrial site in </w:t>
                      </w:r>
                      <w:r>
                        <w:rPr>
                          <w:rFonts w:ascii="Calibri" w:eastAsia="Arial" w:hAnsi="Calibri" w:cs="Calibri"/>
                          <w:color w:val="FFFFFF" w:themeColor="background1"/>
                          <w:kern w:val="24"/>
                          <w:sz w:val="26"/>
                          <w:szCs w:val="26"/>
                          <w:lang w:val="en-AU"/>
                        </w:rPr>
                        <w:t>w</w:t>
                      </w:r>
                      <w:r w:rsidRPr="009400A7">
                        <w:rPr>
                          <w:rFonts w:ascii="Calibri" w:eastAsia="Arial" w:hAnsi="Calibri" w:cs="Calibri"/>
                          <w:color w:val="FFFFFF" w:themeColor="background1"/>
                          <w:kern w:val="24"/>
                          <w:sz w:val="26"/>
                          <w:szCs w:val="26"/>
                          <w:lang w:val="en-AU"/>
                        </w:rPr>
                        <w:t>est London</w:t>
                      </w:r>
                    </w:p>
                    <w:p w14:paraId="391D0B0F" w14:textId="77777777" w:rsidR="00DB0C02" w:rsidRPr="009400A7" w:rsidRDefault="00DB0C02" w:rsidP="00DB0C02">
                      <w:pPr>
                        <w:pStyle w:val="ListParagraph"/>
                        <w:ind w:left="426"/>
                        <w:rPr>
                          <w:rFonts w:ascii="Calibri" w:hAnsi="Calibri" w:cs="Calibri"/>
                          <w:color w:val="FFFFFF" w:themeColor="background1"/>
                          <w:sz w:val="26"/>
                          <w:szCs w:val="26"/>
                        </w:rPr>
                      </w:pPr>
                    </w:p>
                    <w:p w14:paraId="2A3E00B0" w14:textId="7BF7BCC2" w:rsidR="00DB0C02" w:rsidRDefault="00DB0C02" w:rsidP="00DB0C02">
                      <w:pPr>
                        <w:rPr>
                          <w:rFonts w:ascii="Calibri" w:eastAsia="Arial" w:hAnsi="Calibri" w:cs="Calibri"/>
                          <w:b/>
                          <w:bCs/>
                          <w:color w:val="FFFFFF" w:themeColor="background1"/>
                          <w:kern w:val="24"/>
                          <w:sz w:val="26"/>
                          <w:szCs w:val="26"/>
                          <w:lang w:val="en-AU"/>
                        </w:rPr>
                      </w:pPr>
                      <w:r w:rsidRPr="009400A7">
                        <w:rPr>
                          <w:rFonts w:ascii="Calibri" w:eastAsia="Arial" w:hAnsi="Calibri" w:cs="Calibri"/>
                          <w:b/>
                          <w:bCs/>
                          <w:color w:val="FFFFFF" w:themeColor="background1"/>
                          <w:kern w:val="24"/>
                          <w:sz w:val="26"/>
                          <w:szCs w:val="26"/>
                          <w:lang w:val="en-AU"/>
                        </w:rPr>
                        <w:t xml:space="preserve">Founded in 2004 </w:t>
                      </w:r>
                    </w:p>
                    <w:p w14:paraId="6A114773" w14:textId="77777777" w:rsidR="00A86120" w:rsidRPr="009400A7" w:rsidRDefault="00A86120" w:rsidP="00DB0C02">
                      <w:pPr>
                        <w:rPr>
                          <w:rFonts w:ascii="Calibri" w:hAnsi="Calibri" w:cs="Calibri"/>
                          <w:b/>
                          <w:bCs/>
                          <w:color w:val="FFFFFF" w:themeColor="background1"/>
                          <w:sz w:val="26"/>
                          <w:szCs w:val="26"/>
                        </w:rPr>
                      </w:pPr>
                    </w:p>
                    <w:p w14:paraId="27AD294B" w14:textId="77777777" w:rsidR="00DB0C02" w:rsidRPr="009400A7" w:rsidRDefault="00DB0C02" w:rsidP="00DB0C02">
                      <w:pPr>
                        <w:pStyle w:val="ListParagraph"/>
                        <w:numPr>
                          <w:ilvl w:val="0"/>
                          <w:numId w:val="1"/>
                        </w:numPr>
                        <w:spacing w:after="160" w:line="259" w:lineRule="auto"/>
                        <w:ind w:left="426" w:hanging="426"/>
                        <w:contextualSpacing w:val="0"/>
                        <w:rPr>
                          <w:rFonts w:ascii="Calibri" w:hAnsi="Calibri" w:cs="Calibri"/>
                          <w:color w:val="FFFFFF" w:themeColor="background1"/>
                          <w:sz w:val="26"/>
                          <w:szCs w:val="26"/>
                        </w:rPr>
                      </w:pPr>
                      <w:r w:rsidRPr="009400A7">
                        <w:rPr>
                          <w:rFonts w:ascii="Calibri" w:eastAsia="Arial" w:hAnsi="Calibri" w:cs="Calibri"/>
                          <w:color w:val="FFFFFF" w:themeColor="background1"/>
                          <w:kern w:val="24"/>
                          <w:sz w:val="26"/>
                          <w:szCs w:val="26"/>
                          <w:lang w:val="en-AU"/>
                        </w:rPr>
                        <w:t>We only invest in real estate, c£4bn in AUM*</w:t>
                      </w:r>
                    </w:p>
                    <w:p w14:paraId="3915F56B" w14:textId="77777777" w:rsidR="00DB0C02" w:rsidRPr="009400A7" w:rsidRDefault="00DB0C02" w:rsidP="00DB0C02">
                      <w:pPr>
                        <w:pStyle w:val="ListParagraph"/>
                        <w:numPr>
                          <w:ilvl w:val="0"/>
                          <w:numId w:val="1"/>
                        </w:numPr>
                        <w:spacing w:after="160" w:line="259" w:lineRule="auto"/>
                        <w:ind w:left="426" w:hanging="426"/>
                        <w:contextualSpacing w:val="0"/>
                        <w:rPr>
                          <w:rFonts w:ascii="Calibri" w:hAnsi="Calibri" w:cs="Calibri"/>
                          <w:color w:val="FFFFFF" w:themeColor="background1"/>
                          <w:sz w:val="26"/>
                          <w:szCs w:val="26"/>
                        </w:rPr>
                      </w:pPr>
                      <w:r w:rsidRPr="009400A7">
                        <w:rPr>
                          <w:rFonts w:ascii="Calibri" w:eastAsia="Arial" w:hAnsi="Calibri" w:cs="Calibri"/>
                          <w:color w:val="FFFFFF" w:themeColor="background1"/>
                          <w:kern w:val="24"/>
                          <w:sz w:val="26"/>
                          <w:szCs w:val="26"/>
                          <w:lang w:val="en-AU"/>
                        </w:rPr>
                        <w:t>1</w:t>
                      </w:r>
                      <w:r>
                        <w:rPr>
                          <w:rFonts w:ascii="Calibri" w:eastAsia="Arial" w:hAnsi="Calibri" w:cs="Calibri"/>
                          <w:color w:val="FFFFFF" w:themeColor="background1"/>
                          <w:kern w:val="24"/>
                          <w:sz w:val="26"/>
                          <w:szCs w:val="26"/>
                          <w:lang w:val="en-AU"/>
                        </w:rPr>
                        <w:t>6</w:t>
                      </w:r>
                      <w:r w:rsidRPr="009400A7">
                        <w:rPr>
                          <w:rFonts w:ascii="Calibri" w:eastAsia="Arial" w:hAnsi="Calibri" w:cs="Calibri"/>
                          <w:color w:val="FFFFFF" w:themeColor="background1"/>
                          <w:kern w:val="24"/>
                          <w:sz w:val="26"/>
                          <w:szCs w:val="26"/>
                          <w:lang w:val="en-AU"/>
                        </w:rPr>
                        <w:t xml:space="preserve"> years of driving consistent outperformance for our small stable of world class investors</w:t>
                      </w:r>
                    </w:p>
                    <w:p w14:paraId="1A74D52D" w14:textId="77777777" w:rsidR="00DB0C02" w:rsidRPr="009400A7" w:rsidRDefault="00DB0C02" w:rsidP="00DB0C02">
                      <w:pPr>
                        <w:pStyle w:val="ListParagraph"/>
                        <w:numPr>
                          <w:ilvl w:val="0"/>
                          <w:numId w:val="1"/>
                        </w:numPr>
                        <w:spacing w:after="160" w:line="259" w:lineRule="auto"/>
                        <w:ind w:left="426" w:hanging="426"/>
                        <w:contextualSpacing w:val="0"/>
                        <w:rPr>
                          <w:rFonts w:ascii="Calibri" w:hAnsi="Calibri" w:cs="Calibri"/>
                          <w:color w:val="FFFFFF" w:themeColor="background1"/>
                          <w:sz w:val="26"/>
                          <w:szCs w:val="26"/>
                        </w:rPr>
                      </w:pPr>
                      <w:r w:rsidRPr="009400A7">
                        <w:rPr>
                          <w:rFonts w:ascii="Calibri" w:eastAsia="Arial" w:hAnsi="Calibri" w:cs="Calibri"/>
                          <w:color w:val="FFFFFF" w:themeColor="background1"/>
                          <w:kern w:val="24"/>
                          <w:sz w:val="26"/>
                          <w:szCs w:val="26"/>
                          <w:lang w:val="en-AU"/>
                        </w:rPr>
                        <w:t>Strong track record executing investment programmes</w:t>
                      </w:r>
                    </w:p>
                    <w:p w14:paraId="0F22E7E2" w14:textId="77777777" w:rsidR="00DB0C02" w:rsidRPr="009400A7" w:rsidRDefault="00DB0C02" w:rsidP="00DB0C02">
                      <w:pPr>
                        <w:pStyle w:val="ListParagraph"/>
                        <w:numPr>
                          <w:ilvl w:val="0"/>
                          <w:numId w:val="1"/>
                        </w:numPr>
                        <w:spacing w:after="160" w:line="259" w:lineRule="auto"/>
                        <w:ind w:left="426" w:hanging="426"/>
                        <w:contextualSpacing w:val="0"/>
                        <w:rPr>
                          <w:rFonts w:ascii="Calibri" w:hAnsi="Calibri" w:cs="Calibri"/>
                          <w:color w:val="FFFFFF" w:themeColor="background1"/>
                          <w:sz w:val="26"/>
                          <w:szCs w:val="26"/>
                        </w:rPr>
                      </w:pPr>
                      <w:r w:rsidRPr="009400A7">
                        <w:rPr>
                          <w:rFonts w:ascii="Calibri" w:eastAsia="Arial" w:hAnsi="Calibri" w:cs="Calibri"/>
                          <w:color w:val="FFFFFF" w:themeColor="background1"/>
                          <w:kern w:val="24"/>
                          <w:sz w:val="26"/>
                          <w:szCs w:val="26"/>
                          <w:lang w:val="en-AU"/>
                        </w:rPr>
                        <w:t>c.£3bn invested over last 7 years and more than £1bn sold</w:t>
                      </w:r>
                    </w:p>
                    <w:p w14:paraId="492675FC" w14:textId="77777777" w:rsidR="00DB0C02" w:rsidRPr="009400A7" w:rsidRDefault="00DB0C02" w:rsidP="00DB0C02">
                      <w:pPr>
                        <w:pStyle w:val="ListParagraph"/>
                        <w:numPr>
                          <w:ilvl w:val="0"/>
                          <w:numId w:val="1"/>
                        </w:numPr>
                        <w:spacing w:after="160" w:line="259" w:lineRule="auto"/>
                        <w:ind w:left="426" w:hanging="426"/>
                        <w:contextualSpacing w:val="0"/>
                        <w:rPr>
                          <w:rFonts w:ascii="Calibri" w:hAnsi="Calibri" w:cs="Calibri"/>
                          <w:color w:val="FFFFFF" w:themeColor="background1"/>
                          <w:sz w:val="26"/>
                          <w:szCs w:val="26"/>
                        </w:rPr>
                      </w:pPr>
                      <w:r w:rsidRPr="009400A7">
                        <w:rPr>
                          <w:rFonts w:ascii="Calibri" w:eastAsia="Arial" w:hAnsi="Calibri" w:cs="Calibri"/>
                          <w:color w:val="FFFFFF" w:themeColor="background1"/>
                          <w:kern w:val="24"/>
                          <w:sz w:val="26"/>
                          <w:szCs w:val="26"/>
                          <w:lang w:val="en-AU"/>
                        </w:rPr>
                        <w:t xml:space="preserve">Partners financially aligned with our clients’ interests   </w:t>
                      </w:r>
                    </w:p>
                    <w:p w14:paraId="638916D1" w14:textId="33EEF30D" w:rsidR="00DB0C02" w:rsidRDefault="00DB0C02" w:rsidP="00DB0C02">
                      <w:pPr>
                        <w:pStyle w:val="ListParagraph"/>
                        <w:numPr>
                          <w:ilvl w:val="0"/>
                          <w:numId w:val="1"/>
                        </w:numPr>
                        <w:spacing w:after="160" w:line="259" w:lineRule="auto"/>
                        <w:ind w:left="426" w:hanging="426"/>
                        <w:contextualSpacing w:val="0"/>
                        <w:rPr>
                          <w:rFonts w:ascii="Calibri" w:eastAsia="Arial" w:hAnsi="Calibri" w:cs="Calibri"/>
                          <w:color w:val="FFFFFF" w:themeColor="background1"/>
                          <w:kern w:val="24"/>
                          <w:sz w:val="26"/>
                          <w:szCs w:val="26"/>
                          <w:lang w:val="en-AU"/>
                        </w:rPr>
                      </w:pPr>
                      <w:r w:rsidRPr="009400A7">
                        <w:rPr>
                          <w:rFonts w:ascii="Calibri" w:eastAsia="Arial" w:hAnsi="Calibri" w:cs="Calibri"/>
                          <w:color w:val="FFFFFF" w:themeColor="background1"/>
                          <w:kern w:val="24"/>
                          <w:sz w:val="26"/>
                          <w:szCs w:val="26"/>
                          <w:lang w:val="en-AU"/>
                        </w:rPr>
                        <w:t>Single investment committee delivers consistency across all mandates through cycles</w:t>
                      </w:r>
                    </w:p>
                    <w:p w14:paraId="70EEFF41" w14:textId="77777777" w:rsidR="00A86120" w:rsidRPr="009400A7" w:rsidRDefault="00A86120" w:rsidP="00A86120">
                      <w:pPr>
                        <w:pStyle w:val="ListParagraph"/>
                        <w:spacing w:after="160" w:line="259" w:lineRule="auto"/>
                        <w:ind w:left="426"/>
                        <w:contextualSpacing w:val="0"/>
                        <w:rPr>
                          <w:rFonts w:ascii="Calibri" w:eastAsia="Arial" w:hAnsi="Calibri" w:cs="Calibri"/>
                          <w:color w:val="FFFFFF" w:themeColor="background1"/>
                          <w:kern w:val="24"/>
                          <w:sz w:val="26"/>
                          <w:szCs w:val="26"/>
                          <w:lang w:val="en-AU"/>
                        </w:rPr>
                      </w:pPr>
                    </w:p>
                    <w:p w14:paraId="1D3D3AB3" w14:textId="77777777" w:rsidR="00DB0C02" w:rsidRPr="009400A7" w:rsidRDefault="00DB0C02" w:rsidP="00DB0C02">
                      <w:pPr>
                        <w:pStyle w:val="ListParagraph"/>
                        <w:numPr>
                          <w:ilvl w:val="0"/>
                          <w:numId w:val="1"/>
                        </w:numPr>
                        <w:spacing w:after="160" w:line="259" w:lineRule="auto"/>
                        <w:ind w:left="426" w:hanging="426"/>
                        <w:contextualSpacing w:val="0"/>
                        <w:rPr>
                          <w:rFonts w:ascii="Calibri" w:eastAsia="Arial" w:hAnsi="Calibri" w:cs="Calibri"/>
                          <w:color w:val="FFFFFF" w:themeColor="background1"/>
                          <w:kern w:val="24"/>
                          <w:sz w:val="26"/>
                          <w:szCs w:val="26"/>
                          <w:lang w:val="en-AU"/>
                        </w:rPr>
                      </w:pPr>
                      <w:r w:rsidRPr="009400A7">
                        <w:rPr>
                          <w:rFonts w:ascii="Calibri" w:eastAsia="Arial" w:hAnsi="Calibri" w:cs="Calibri"/>
                          <w:color w:val="FFFFFF" w:themeColor="background1"/>
                          <w:kern w:val="24"/>
                          <w:sz w:val="26"/>
                          <w:szCs w:val="26"/>
                          <w:lang w:val="en-AU"/>
                        </w:rPr>
                        <w:t>Reputation for shrewd stock selection and forensic asset management</w:t>
                      </w:r>
                    </w:p>
                    <w:p w14:paraId="5101B8A6" w14:textId="77777777" w:rsidR="00DB0C02" w:rsidRDefault="00DB0C02" w:rsidP="00DB0C02">
                      <w:pPr>
                        <w:rPr>
                          <w:rFonts w:ascii="Calibri" w:eastAsia="Arial" w:hAnsi="Calibri" w:cs="Calibri"/>
                          <w:color w:val="000000" w:themeColor="text1"/>
                          <w:kern w:val="24"/>
                          <w:sz w:val="26"/>
                          <w:szCs w:val="26"/>
                          <w:lang w:val="en-AU"/>
                        </w:rPr>
                      </w:pPr>
                    </w:p>
                    <w:p w14:paraId="4A15870E" w14:textId="77777777" w:rsidR="00DB0C02" w:rsidRPr="009400A7" w:rsidRDefault="00DB0C02" w:rsidP="00DB0C02">
                      <w:pPr>
                        <w:rPr>
                          <w:rFonts w:ascii="Calibri" w:eastAsia="Arial" w:hAnsi="Calibri" w:cs="Calibri"/>
                          <w:color w:val="FFFFFF" w:themeColor="background1"/>
                          <w:kern w:val="24"/>
                          <w:sz w:val="18"/>
                          <w:szCs w:val="18"/>
                        </w:rPr>
                      </w:pPr>
                      <w:r w:rsidRPr="009400A7">
                        <w:rPr>
                          <w:rFonts w:ascii="Calibri" w:eastAsia="Arial" w:hAnsi="Calibri" w:cs="Calibri"/>
                          <w:color w:val="FFFFFF" w:themeColor="background1"/>
                          <w:kern w:val="24"/>
                          <w:sz w:val="18"/>
                          <w:szCs w:val="18"/>
                        </w:rPr>
                        <w:t>*AUM as at 31 December 2020 and represents the aggregate of the net asset values of client assets under management, measured under the individual client’s reporting GAAP (“Generally Accepted Accounting Principles”), with the addition of undrawn committed capital.</w:t>
                      </w:r>
                    </w:p>
                    <w:p w14:paraId="36EAFA41" w14:textId="77777777" w:rsidR="00DB0C02" w:rsidRPr="008230FF" w:rsidRDefault="00DB0C02" w:rsidP="00DB0C02">
                      <w:pPr>
                        <w:rPr>
                          <w:rFonts w:ascii="Calibri" w:eastAsia="Arial" w:hAnsi="Calibri" w:cs="Calibri"/>
                          <w:color w:val="000000" w:themeColor="text1"/>
                          <w:kern w:val="24"/>
                          <w:sz w:val="18"/>
                          <w:szCs w:val="18"/>
                          <w:lang w:val="en-AU"/>
                        </w:rPr>
                      </w:pPr>
                    </w:p>
                    <w:p w14:paraId="6F8F651B" w14:textId="77777777" w:rsidR="00DB0C02" w:rsidRPr="008230FF" w:rsidRDefault="00DB0C02" w:rsidP="00DB0C02">
                      <w:pPr>
                        <w:spacing w:line="360" w:lineRule="exact"/>
                        <w:rPr>
                          <w:color w:val="FFFFFF" w:themeColor="background1"/>
                          <w:spacing w:val="-4"/>
                          <w:sz w:val="18"/>
                          <w:szCs w:val="18"/>
                          <w:lang w:val="en-US"/>
                        </w:rPr>
                      </w:pPr>
                    </w:p>
                    <w:p w14:paraId="6B26A050" w14:textId="77777777" w:rsidR="00DB0C02" w:rsidRDefault="00DB0C02" w:rsidP="00DB0C02">
                      <w:pPr>
                        <w:rPr>
                          <w:rFonts w:ascii="Calibri" w:hAnsi="Calibri" w:cs="Calibri"/>
                          <w:color w:val="FFFFFF" w:themeColor="background1"/>
                        </w:rPr>
                      </w:pPr>
                    </w:p>
                    <w:p w14:paraId="43E0FF4B" w14:textId="77777777" w:rsidR="00DB0C02" w:rsidRDefault="00DB0C02" w:rsidP="00DB0C02">
                      <w:pPr>
                        <w:rPr>
                          <w:rFonts w:ascii="Calibri" w:hAnsi="Calibri" w:cs="Calibri"/>
                          <w:color w:val="FFFFFF" w:themeColor="background1"/>
                        </w:rPr>
                      </w:pPr>
                    </w:p>
                    <w:p w14:paraId="29AEBF2F" w14:textId="77777777" w:rsidR="00DB0C02" w:rsidRDefault="00DB0C02" w:rsidP="00DB0C02">
                      <w:pPr>
                        <w:rPr>
                          <w:rFonts w:ascii="Calibri" w:hAnsi="Calibri" w:cs="Calibri"/>
                          <w:color w:val="FFFFFF" w:themeColor="background1"/>
                        </w:rPr>
                      </w:pPr>
                    </w:p>
                    <w:p w14:paraId="2FE926DF" w14:textId="77777777" w:rsidR="00DB0C02" w:rsidRPr="00D63D3E" w:rsidRDefault="00DB0C02" w:rsidP="00DB0C02">
                      <w:pPr>
                        <w:spacing w:before="80"/>
                        <w:rPr>
                          <w:rFonts w:ascii="Calibri" w:hAnsi="Calibri" w:cs="Calibri"/>
                          <w:color w:val="FFFFFF" w:themeColor="background1"/>
                          <w:sz w:val="18"/>
                          <w:szCs w:val="18"/>
                        </w:rPr>
                      </w:pPr>
                      <w:r w:rsidRPr="00D63D3E">
                        <w:rPr>
                          <w:rFonts w:ascii="Calibri" w:hAnsi="Calibri" w:cs="Calibri"/>
                          <w:color w:val="FFFFFF" w:themeColor="background1"/>
                          <w:sz w:val="18"/>
                          <w:szCs w:val="18"/>
                        </w:rPr>
                        <w:t>*AUM as at 31 December 2019 and represents the aggregate of the net asset values of client assets under management, measured under the individual client’s reporting GAAP (“Generally Accepted Accounting Principles”), with the addition of undrawn committed capital.</w:t>
                      </w:r>
                    </w:p>
                    <w:p w14:paraId="1E8506B7" w14:textId="77777777" w:rsidR="00DB0C02" w:rsidRPr="00D63D3E" w:rsidRDefault="00DB0C02" w:rsidP="00DB0C02">
                      <w:pPr>
                        <w:spacing w:line="360" w:lineRule="exact"/>
                        <w:rPr>
                          <w:color w:val="FFFFFF" w:themeColor="background1"/>
                          <w:spacing w:val="-4"/>
                          <w:sz w:val="44"/>
                          <w:szCs w:val="44"/>
                          <w:lang w:val="en-US"/>
                        </w:rPr>
                      </w:pPr>
                    </w:p>
                  </w:txbxContent>
                </v:textbox>
                <w10:wrap anchorx="page" anchory="margin"/>
              </v:shape>
            </w:pict>
          </mc:Fallback>
        </mc:AlternateContent>
      </w:r>
    </w:p>
    <w:p w14:paraId="3E083498" w14:textId="1B994B9A" w:rsidR="00DB0C02" w:rsidRDefault="00DB0C02" w:rsidP="00DB0C02"/>
    <w:p w14:paraId="5BD68AAD" w14:textId="0B365377" w:rsidR="00DB0C02" w:rsidRDefault="00DB0C02" w:rsidP="00DB0C02"/>
    <w:p w14:paraId="5092F86C" w14:textId="04AB3CE5" w:rsidR="00DB0C02" w:rsidRDefault="00DB0C02" w:rsidP="00DB0C02"/>
    <w:p w14:paraId="31511E74" w14:textId="681B4E62" w:rsidR="00DB0C02" w:rsidRDefault="00DB0C02" w:rsidP="00DB0C02"/>
    <w:p w14:paraId="100A0C1B" w14:textId="2647B227" w:rsidR="00DB0C02" w:rsidRDefault="00DB0C02" w:rsidP="00DB0C02"/>
    <w:p w14:paraId="6C7F119E" w14:textId="051B7C70" w:rsidR="00DB0C02" w:rsidRDefault="00DB0C02" w:rsidP="00DB0C02"/>
    <w:p w14:paraId="61D3C1DF" w14:textId="316C1E6F" w:rsidR="00DB0C02" w:rsidRDefault="00DB0C02" w:rsidP="00DB0C02"/>
    <w:p w14:paraId="13C1825F" w14:textId="61C73A28" w:rsidR="00DB0C02" w:rsidRDefault="00DB0C02" w:rsidP="00DB0C02"/>
    <w:p w14:paraId="01B341BE" w14:textId="6ECCDFDE" w:rsidR="00DB0C02" w:rsidRDefault="00DB0C02" w:rsidP="00DB0C02"/>
    <w:p w14:paraId="6ADC0DA8" w14:textId="7AD01008" w:rsidR="00DB0C02" w:rsidRPr="00940825" w:rsidRDefault="00DB0C02" w:rsidP="00940825"/>
    <w:sectPr w:rsidR="00DB0C02" w:rsidRPr="009408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A25B3"/>
    <w:multiLevelType w:val="hybridMultilevel"/>
    <w:tmpl w:val="086EAE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4957317"/>
    <w:multiLevelType w:val="hybridMultilevel"/>
    <w:tmpl w:val="290C0F66"/>
    <w:lvl w:ilvl="0" w:tplc="E10884C4">
      <w:start w:val="1"/>
      <w:numFmt w:val="bullet"/>
      <w:lvlText w:val=""/>
      <w:lvlJc w:val="left"/>
      <w:pPr>
        <w:ind w:left="644" w:hanging="644"/>
      </w:pPr>
      <w:rPr>
        <w:rFonts w:ascii="Symbol" w:hAnsi="Symbol" w:hint="default"/>
        <w:color w:val="FFFFFF" w:themeColor="background1"/>
      </w:rPr>
    </w:lvl>
    <w:lvl w:ilvl="1" w:tplc="6F801EDC" w:tentative="1">
      <w:start w:val="1"/>
      <w:numFmt w:val="bullet"/>
      <w:lvlText w:val="•"/>
      <w:lvlJc w:val="left"/>
      <w:pPr>
        <w:tabs>
          <w:tab w:val="num" w:pos="1440"/>
        </w:tabs>
        <w:ind w:left="1440" w:hanging="360"/>
      </w:pPr>
      <w:rPr>
        <w:rFonts w:ascii="Arial" w:hAnsi="Arial" w:hint="default"/>
      </w:rPr>
    </w:lvl>
    <w:lvl w:ilvl="2" w:tplc="69B0FAC2" w:tentative="1">
      <w:start w:val="1"/>
      <w:numFmt w:val="bullet"/>
      <w:lvlText w:val="•"/>
      <w:lvlJc w:val="left"/>
      <w:pPr>
        <w:tabs>
          <w:tab w:val="num" w:pos="2160"/>
        </w:tabs>
        <w:ind w:left="2160" w:hanging="360"/>
      </w:pPr>
      <w:rPr>
        <w:rFonts w:ascii="Arial" w:hAnsi="Arial" w:hint="default"/>
      </w:rPr>
    </w:lvl>
    <w:lvl w:ilvl="3" w:tplc="854420E8" w:tentative="1">
      <w:start w:val="1"/>
      <w:numFmt w:val="bullet"/>
      <w:lvlText w:val="•"/>
      <w:lvlJc w:val="left"/>
      <w:pPr>
        <w:tabs>
          <w:tab w:val="num" w:pos="2880"/>
        </w:tabs>
        <w:ind w:left="2880" w:hanging="360"/>
      </w:pPr>
      <w:rPr>
        <w:rFonts w:ascii="Arial" w:hAnsi="Arial" w:hint="default"/>
      </w:rPr>
    </w:lvl>
    <w:lvl w:ilvl="4" w:tplc="C518A008" w:tentative="1">
      <w:start w:val="1"/>
      <w:numFmt w:val="bullet"/>
      <w:lvlText w:val="•"/>
      <w:lvlJc w:val="left"/>
      <w:pPr>
        <w:tabs>
          <w:tab w:val="num" w:pos="3600"/>
        </w:tabs>
        <w:ind w:left="3600" w:hanging="360"/>
      </w:pPr>
      <w:rPr>
        <w:rFonts w:ascii="Arial" w:hAnsi="Arial" w:hint="default"/>
      </w:rPr>
    </w:lvl>
    <w:lvl w:ilvl="5" w:tplc="C49C1C98" w:tentative="1">
      <w:start w:val="1"/>
      <w:numFmt w:val="bullet"/>
      <w:lvlText w:val="•"/>
      <w:lvlJc w:val="left"/>
      <w:pPr>
        <w:tabs>
          <w:tab w:val="num" w:pos="4320"/>
        </w:tabs>
        <w:ind w:left="4320" w:hanging="360"/>
      </w:pPr>
      <w:rPr>
        <w:rFonts w:ascii="Arial" w:hAnsi="Arial" w:hint="default"/>
      </w:rPr>
    </w:lvl>
    <w:lvl w:ilvl="6" w:tplc="51E65BF2" w:tentative="1">
      <w:start w:val="1"/>
      <w:numFmt w:val="bullet"/>
      <w:lvlText w:val="•"/>
      <w:lvlJc w:val="left"/>
      <w:pPr>
        <w:tabs>
          <w:tab w:val="num" w:pos="5040"/>
        </w:tabs>
        <w:ind w:left="5040" w:hanging="360"/>
      </w:pPr>
      <w:rPr>
        <w:rFonts w:ascii="Arial" w:hAnsi="Arial" w:hint="default"/>
      </w:rPr>
    </w:lvl>
    <w:lvl w:ilvl="7" w:tplc="AB7E7F52" w:tentative="1">
      <w:start w:val="1"/>
      <w:numFmt w:val="bullet"/>
      <w:lvlText w:val="•"/>
      <w:lvlJc w:val="left"/>
      <w:pPr>
        <w:tabs>
          <w:tab w:val="num" w:pos="5760"/>
        </w:tabs>
        <w:ind w:left="5760" w:hanging="360"/>
      </w:pPr>
      <w:rPr>
        <w:rFonts w:ascii="Arial" w:hAnsi="Arial" w:hint="default"/>
      </w:rPr>
    </w:lvl>
    <w:lvl w:ilvl="8" w:tplc="F2BA7F30"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825"/>
    <w:rsid w:val="000363C9"/>
    <w:rsid w:val="000B146D"/>
    <w:rsid w:val="00116EAB"/>
    <w:rsid w:val="001D28D2"/>
    <w:rsid w:val="00327D49"/>
    <w:rsid w:val="00385FD2"/>
    <w:rsid w:val="004D28A9"/>
    <w:rsid w:val="004E0773"/>
    <w:rsid w:val="00664517"/>
    <w:rsid w:val="0068303F"/>
    <w:rsid w:val="0077353F"/>
    <w:rsid w:val="0077640D"/>
    <w:rsid w:val="00801C25"/>
    <w:rsid w:val="00940825"/>
    <w:rsid w:val="00A86120"/>
    <w:rsid w:val="00AB0132"/>
    <w:rsid w:val="00B41C5A"/>
    <w:rsid w:val="00BD5B3C"/>
    <w:rsid w:val="00CB488E"/>
    <w:rsid w:val="00CF7D43"/>
    <w:rsid w:val="00D10475"/>
    <w:rsid w:val="00DB0C02"/>
    <w:rsid w:val="00E1069C"/>
    <w:rsid w:val="00EE35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CE9D9"/>
  <w15:chartTrackingRefBased/>
  <w15:docId w15:val="{C1CF4052-14D4-475D-B929-F664A61A6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825"/>
    <w:pPr>
      <w:spacing w:after="0" w:line="240" w:lineRule="auto"/>
    </w:pPr>
    <w:rPr>
      <w:rFonts w:ascii="Garamond" w:eastAsia="Times New Roman" w:hAnsi="Garamond" w:cs="Times New Roman"/>
      <w:szCs w:val="20"/>
    </w:rPr>
  </w:style>
  <w:style w:type="paragraph" w:styleId="Heading1">
    <w:name w:val="heading 1"/>
    <w:basedOn w:val="Normal"/>
    <w:next w:val="Normal"/>
    <w:link w:val="Heading1Char"/>
    <w:uiPriority w:val="9"/>
    <w:qFormat/>
    <w:rsid w:val="00940825"/>
    <w:pPr>
      <w:keepNext/>
      <w:spacing w:before="240" w:after="60"/>
      <w:outlineLvl w:val="0"/>
    </w:pPr>
    <w:rPr>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825"/>
    <w:rPr>
      <w:rFonts w:ascii="Garamond" w:eastAsia="Times New Roman" w:hAnsi="Garamond" w:cs="Times New Roman"/>
      <w:b/>
      <w:kern w:val="28"/>
      <w:sz w:val="28"/>
      <w:szCs w:val="20"/>
    </w:rPr>
  </w:style>
  <w:style w:type="paragraph" w:styleId="ListParagraph">
    <w:name w:val="List Paragraph"/>
    <w:basedOn w:val="Normal"/>
    <w:link w:val="ListParagraphChar"/>
    <w:uiPriority w:val="34"/>
    <w:qFormat/>
    <w:rsid w:val="00940825"/>
    <w:pPr>
      <w:ind w:left="720"/>
      <w:contextualSpacing/>
    </w:pPr>
  </w:style>
  <w:style w:type="character" w:styleId="Hyperlink">
    <w:name w:val="Hyperlink"/>
    <w:basedOn w:val="DefaultParagraphFont"/>
    <w:uiPriority w:val="99"/>
    <w:rsid w:val="00940825"/>
    <w:rPr>
      <w:color w:val="0563C1" w:themeColor="hyperlink"/>
      <w:u w:val="single"/>
    </w:rPr>
  </w:style>
  <w:style w:type="character" w:customStyle="1" w:styleId="ListParagraphChar">
    <w:name w:val="List Paragraph Char"/>
    <w:basedOn w:val="DefaultParagraphFont"/>
    <w:link w:val="ListParagraph"/>
    <w:uiPriority w:val="34"/>
    <w:rsid w:val="00940825"/>
    <w:rPr>
      <w:rFonts w:ascii="Garamond" w:eastAsia="Times New Roman" w:hAnsi="Garamond" w:cs="Times New Roman"/>
      <w:szCs w:val="20"/>
    </w:rPr>
  </w:style>
  <w:style w:type="character" w:styleId="CommentReference">
    <w:name w:val="annotation reference"/>
    <w:basedOn w:val="DefaultParagraphFont"/>
    <w:uiPriority w:val="99"/>
    <w:semiHidden/>
    <w:unhideWhenUsed/>
    <w:rsid w:val="00DB0C02"/>
    <w:rPr>
      <w:sz w:val="16"/>
      <w:szCs w:val="16"/>
    </w:rPr>
  </w:style>
  <w:style w:type="paragraph" w:styleId="CommentText">
    <w:name w:val="annotation text"/>
    <w:basedOn w:val="Normal"/>
    <w:link w:val="CommentTextChar"/>
    <w:uiPriority w:val="99"/>
    <w:semiHidden/>
    <w:unhideWhenUsed/>
    <w:rsid w:val="00DB0C02"/>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DB0C02"/>
    <w:rPr>
      <w:sz w:val="20"/>
      <w:szCs w:val="20"/>
    </w:rPr>
  </w:style>
  <w:style w:type="paragraph" w:styleId="Revision">
    <w:name w:val="Revision"/>
    <w:hidden/>
    <w:uiPriority w:val="99"/>
    <w:semiHidden/>
    <w:rsid w:val="000363C9"/>
    <w:pPr>
      <w:spacing w:after="0" w:line="240" w:lineRule="auto"/>
    </w:pPr>
    <w:rPr>
      <w:rFonts w:ascii="Garamond" w:eastAsia="Times New Roman" w:hAnsi="Garamond" w:cs="Times New Roman"/>
      <w:szCs w:val="20"/>
    </w:rPr>
  </w:style>
  <w:style w:type="paragraph" w:styleId="NormalWeb">
    <w:name w:val="Normal (Web)"/>
    <w:basedOn w:val="Normal"/>
    <w:uiPriority w:val="99"/>
    <w:unhideWhenUsed/>
    <w:rsid w:val="00CF7D43"/>
    <w:pPr>
      <w:spacing w:before="100" w:beforeAutospacing="1" w:after="100" w:afterAutospacing="1"/>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18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736429342728551E-2"/>
          <c:y val="2.2173869487688083E-2"/>
          <c:w val="0.76312055587668048"/>
          <c:h val="0.60126112545504118"/>
        </c:manualLayout>
      </c:layout>
      <c:areaChart>
        <c:grouping val="standard"/>
        <c:varyColors val="0"/>
        <c:ser>
          <c:idx val="2"/>
          <c:order val="2"/>
          <c:tx>
            <c:strRef>
              <c:f>YieldPrem!$D$4</c:f>
              <c:strCache>
                <c:ptCount val="1"/>
                <c:pt idx="0">
                  <c:v>Yield Premium</c:v>
                </c:pt>
              </c:strCache>
            </c:strRef>
          </c:tx>
          <c:spPr>
            <a:solidFill>
              <a:schemeClr val="accent3"/>
            </a:solidFill>
            <a:ln>
              <a:noFill/>
            </a:ln>
            <a:effectLst/>
          </c:spPr>
          <c:cat>
            <c:numRef>
              <c:f>YieldPrem!$A$5:$A$83</c:f>
              <c:numCache>
                <c:formatCode>m/d/yyyy</c:formatCode>
                <c:ptCount val="79"/>
                <c:pt idx="0">
                  <c:v>37165</c:v>
                </c:pt>
                <c:pt idx="1">
                  <c:v>37257</c:v>
                </c:pt>
                <c:pt idx="2">
                  <c:v>37347</c:v>
                </c:pt>
                <c:pt idx="3">
                  <c:v>37438</c:v>
                </c:pt>
                <c:pt idx="4">
                  <c:v>37530</c:v>
                </c:pt>
                <c:pt idx="5">
                  <c:v>37622</c:v>
                </c:pt>
                <c:pt idx="6">
                  <c:v>37712</c:v>
                </c:pt>
                <c:pt idx="7">
                  <c:v>37803</c:v>
                </c:pt>
                <c:pt idx="8">
                  <c:v>37895</c:v>
                </c:pt>
                <c:pt idx="9">
                  <c:v>37987</c:v>
                </c:pt>
                <c:pt idx="10">
                  <c:v>38078</c:v>
                </c:pt>
                <c:pt idx="11">
                  <c:v>38169</c:v>
                </c:pt>
                <c:pt idx="12">
                  <c:v>38261</c:v>
                </c:pt>
                <c:pt idx="13">
                  <c:v>38353</c:v>
                </c:pt>
                <c:pt idx="14">
                  <c:v>38443</c:v>
                </c:pt>
                <c:pt idx="15">
                  <c:v>38534</c:v>
                </c:pt>
                <c:pt idx="16">
                  <c:v>38626</c:v>
                </c:pt>
                <c:pt idx="17">
                  <c:v>38718</c:v>
                </c:pt>
                <c:pt idx="18">
                  <c:v>38808</c:v>
                </c:pt>
                <c:pt idx="19">
                  <c:v>38899</c:v>
                </c:pt>
                <c:pt idx="20">
                  <c:v>38991</c:v>
                </c:pt>
                <c:pt idx="21">
                  <c:v>39083</c:v>
                </c:pt>
                <c:pt idx="22">
                  <c:v>39173</c:v>
                </c:pt>
                <c:pt idx="23">
                  <c:v>39264</c:v>
                </c:pt>
                <c:pt idx="24">
                  <c:v>39356</c:v>
                </c:pt>
                <c:pt idx="25">
                  <c:v>39448</c:v>
                </c:pt>
                <c:pt idx="26">
                  <c:v>39539</c:v>
                </c:pt>
                <c:pt idx="27">
                  <c:v>39630</c:v>
                </c:pt>
                <c:pt idx="28">
                  <c:v>39722</c:v>
                </c:pt>
                <c:pt idx="29">
                  <c:v>39814</c:v>
                </c:pt>
                <c:pt idx="30">
                  <c:v>39904</c:v>
                </c:pt>
                <c:pt idx="31">
                  <c:v>39995</c:v>
                </c:pt>
                <c:pt idx="32">
                  <c:v>40087</c:v>
                </c:pt>
                <c:pt idx="33">
                  <c:v>40179</c:v>
                </c:pt>
                <c:pt idx="34">
                  <c:v>40269</c:v>
                </c:pt>
                <c:pt idx="35">
                  <c:v>40360</c:v>
                </c:pt>
                <c:pt idx="36">
                  <c:v>40452</c:v>
                </c:pt>
                <c:pt idx="37">
                  <c:v>40544</c:v>
                </c:pt>
                <c:pt idx="38">
                  <c:v>40634</c:v>
                </c:pt>
                <c:pt idx="39">
                  <c:v>40725</c:v>
                </c:pt>
                <c:pt idx="40">
                  <c:v>40817</c:v>
                </c:pt>
                <c:pt idx="41">
                  <c:v>40909</c:v>
                </c:pt>
                <c:pt idx="42">
                  <c:v>41000</c:v>
                </c:pt>
                <c:pt idx="43">
                  <c:v>41091</c:v>
                </c:pt>
                <c:pt idx="44">
                  <c:v>41183</c:v>
                </c:pt>
                <c:pt idx="45">
                  <c:v>41275</c:v>
                </c:pt>
                <c:pt idx="46">
                  <c:v>41365</c:v>
                </c:pt>
                <c:pt idx="47">
                  <c:v>41456</c:v>
                </c:pt>
                <c:pt idx="48">
                  <c:v>41548</c:v>
                </c:pt>
                <c:pt idx="49">
                  <c:v>41640</c:v>
                </c:pt>
                <c:pt idx="50">
                  <c:v>41730</c:v>
                </c:pt>
                <c:pt idx="51">
                  <c:v>41821</c:v>
                </c:pt>
                <c:pt idx="52">
                  <c:v>41913</c:v>
                </c:pt>
                <c:pt idx="53">
                  <c:v>42005</c:v>
                </c:pt>
                <c:pt idx="54">
                  <c:v>42095</c:v>
                </c:pt>
                <c:pt idx="55">
                  <c:v>42186</c:v>
                </c:pt>
                <c:pt idx="56">
                  <c:v>42278</c:v>
                </c:pt>
                <c:pt idx="57">
                  <c:v>42370</c:v>
                </c:pt>
                <c:pt idx="58">
                  <c:v>42461</c:v>
                </c:pt>
                <c:pt idx="59">
                  <c:v>42552</c:v>
                </c:pt>
                <c:pt idx="60">
                  <c:v>42644</c:v>
                </c:pt>
                <c:pt idx="61">
                  <c:v>42736</c:v>
                </c:pt>
                <c:pt idx="62">
                  <c:v>42826</c:v>
                </c:pt>
                <c:pt idx="63">
                  <c:v>42917</c:v>
                </c:pt>
                <c:pt idx="64">
                  <c:v>43009</c:v>
                </c:pt>
                <c:pt idx="65">
                  <c:v>43101</c:v>
                </c:pt>
                <c:pt idx="66">
                  <c:v>43191</c:v>
                </c:pt>
                <c:pt idx="67">
                  <c:v>43282</c:v>
                </c:pt>
                <c:pt idx="68">
                  <c:v>43374</c:v>
                </c:pt>
                <c:pt idx="69">
                  <c:v>43466</c:v>
                </c:pt>
                <c:pt idx="70">
                  <c:v>43556</c:v>
                </c:pt>
                <c:pt idx="71">
                  <c:v>43647</c:v>
                </c:pt>
                <c:pt idx="72">
                  <c:v>43739</c:v>
                </c:pt>
                <c:pt idx="73">
                  <c:v>43831</c:v>
                </c:pt>
                <c:pt idx="74">
                  <c:v>43922</c:v>
                </c:pt>
                <c:pt idx="75">
                  <c:v>44013</c:v>
                </c:pt>
                <c:pt idx="76">
                  <c:v>44105</c:v>
                </c:pt>
                <c:pt idx="77">
                  <c:v>44197</c:v>
                </c:pt>
                <c:pt idx="78">
                  <c:v>44287</c:v>
                </c:pt>
              </c:numCache>
            </c:numRef>
          </c:cat>
          <c:val>
            <c:numRef>
              <c:f>YieldPrem!$D$5:$D$83</c:f>
              <c:numCache>
                <c:formatCode>0</c:formatCode>
                <c:ptCount val="79"/>
                <c:pt idx="0">
                  <c:v>266.35100944021997</c:v>
                </c:pt>
                <c:pt idx="1">
                  <c:v>241.21837899532483</c:v>
                </c:pt>
                <c:pt idx="2">
                  <c:v>258.9504271583798</c:v>
                </c:pt>
                <c:pt idx="3">
                  <c:v>310.80757547317984</c:v>
                </c:pt>
                <c:pt idx="4">
                  <c:v>305.36987639658616</c:v>
                </c:pt>
                <c:pt idx="5">
                  <c:v>307.06337872935973</c:v>
                </c:pt>
                <c:pt idx="6">
                  <c:v>309.47452427862567</c:v>
                </c:pt>
                <c:pt idx="7">
                  <c:v>267.86940102299315</c:v>
                </c:pt>
                <c:pt idx="8">
                  <c:v>230.91338827613495</c:v>
                </c:pt>
                <c:pt idx="9">
                  <c:v>225.97273664515473</c:v>
                </c:pt>
                <c:pt idx="10">
                  <c:v>171.37029644949342</c:v>
                </c:pt>
                <c:pt idx="11">
                  <c:v>184.81554787170617</c:v>
                </c:pt>
                <c:pt idx="12">
                  <c:v>198.67540165579678</c:v>
                </c:pt>
                <c:pt idx="13">
                  <c:v>177.50464716861813</c:v>
                </c:pt>
                <c:pt idx="14">
                  <c:v>210.5729950548274</c:v>
                </c:pt>
                <c:pt idx="15">
                  <c:v>182.81787732425059</c:v>
                </c:pt>
                <c:pt idx="16">
                  <c:v>173.67459920248683</c:v>
                </c:pt>
                <c:pt idx="17">
                  <c:v>133.81986277685832</c:v>
                </c:pt>
                <c:pt idx="18">
                  <c:v>85.965677900148307</c:v>
                </c:pt>
                <c:pt idx="19">
                  <c:v>94.107055900551899</c:v>
                </c:pt>
                <c:pt idx="20">
                  <c:v>65.056292747109893</c:v>
                </c:pt>
                <c:pt idx="21">
                  <c:v>40.040472059701401</c:v>
                </c:pt>
                <c:pt idx="22">
                  <c:v>-9.0015870096527006</c:v>
                </c:pt>
                <c:pt idx="23">
                  <c:v>51.514291645162743</c:v>
                </c:pt>
                <c:pt idx="24">
                  <c:v>150.67462036763456</c:v>
                </c:pt>
                <c:pt idx="25">
                  <c:v>193.2432665398598</c:v>
                </c:pt>
                <c:pt idx="26">
                  <c:v>139.40633311825712</c:v>
                </c:pt>
                <c:pt idx="27">
                  <c:v>249.64599805586073</c:v>
                </c:pt>
                <c:pt idx="28">
                  <c:v>476.10159651669147</c:v>
                </c:pt>
                <c:pt idx="29">
                  <c:v>548.14158263345905</c:v>
                </c:pt>
                <c:pt idx="30">
                  <c:v>524.99442724099458</c:v>
                </c:pt>
                <c:pt idx="31">
                  <c:v>500.94246840824752</c:v>
                </c:pt>
                <c:pt idx="32">
                  <c:v>380.84443756852602</c:v>
                </c:pt>
                <c:pt idx="33">
                  <c:v>336.73082912611505</c:v>
                </c:pt>
                <c:pt idx="34">
                  <c:v>371.68737625221439</c:v>
                </c:pt>
                <c:pt idx="35">
                  <c:v>407.93744911238548</c:v>
                </c:pt>
                <c:pt idx="36">
                  <c:v>350.80384174722036</c:v>
                </c:pt>
                <c:pt idx="37">
                  <c:v>315.15625090328126</c:v>
                </c:pt>
                <c:pt idx="38">
                  <c:v>333.8757795048042</c:v>
                </c:pt>
                <c:pt idx="39">
                  <c:v>439.19676660885364</c:v>
                </c:pt>
                <c:pt idx="40">
                  <c:v>475.7947254762862</c:v>
                </c:pt>
                <c:pt idx="41">
                  <c:v>455.33500457571211</c:v>
                </c:pt>
                <c:pt idx="42">
                  <c:v>515.17347852731768</c:v>
                </c:pt>
                <c:pt idx="43">
                  <c:v>534.52117127352312</c:v>
                </c:pt>
                <c:pt idx="44">
                  <c:v>518.30950786446726</c:v>
                </c:pt>
                <c:pt idx="45">
                  <c:v>516.80919402082418</c:v>
                </c:pt>
                <c:pt idx="46">
                  <c:v>442.60160666932836</c:v>
                </c:pt>
                <c:pt idx="47">
                  <c:v>418.1486343821694</c:v>
                </c:pt>
                <c:pt idx="48">
                  <c:v>360.27486593444013</c:v>
                </c:pt>
                <c:pt idx="49">
                  <c:v>370.84188232501481</c:v>
                </c:pt>
                <c:pt idx="50">
                  <c:v>352.80580495935965</c:v>
                </c:pt>
                <c:pt idx="51">
                  <c:v>368.61544708463703</c:v>
                </c:pt>
                <c:pt idx="52">
                  <c:v>417.46197779316765</c:v>
                </c:pt>
                <c:pt idx="53">
                  <c:v>422.06497936515319</c:v>
                </c:pt>
                <c:pt idx="54">
                  <c:v>368.65082589808031</c:v>
                </c:pt>
                <c:pt idx="55">
                  <c:v>393.32918850802923</c:v>
                </c:pt>
                <c:pt idx="56">
                  <c:v>364.45354462836474</c:v>
                </c:pt>
                <c:pt idx="57">
                  <c:v>417.70094082247408</c:v>
                </c:pt>
                <c:pt idx="58">
                  <c:v>466.21292616110475</c:v>
                </c:pt>
                <c:pt idx="59">
                  <c:v>503.24081834258516</c:v>
                </c:pt>
                <c:pt idx="60">
                  <c:v>449.00905099341639</c:v>
                </c:pt>
                <c:pt idx="61">
                  <c:v>459.81883269713865</c:v>
                </c:pt>
                <c:pt idx="62">
                  <c:v>437.12926029777719</c:v>
                </c:pt>
                <c:pt idx="63">
                  <c:v>419.56821078131588</c:v>
                </c:pt>
                <c:pt idx="64">
                  <c:v>423.9908506956769</c:v>
                </c:pt>
                <c:pt idx="65">
                  <c:v>403.10187595651746</c:v>
                </c:pt>
                <c:pt idx="66">
                  <c:v>402.50004685244977</c:v>
                </c:pt>
                <c:pt idx="67">
                  <c:v>382.48974978042361</c:v>
                </c:pt>
                <c:pt idx="68">
                  <c:v>406.41877989498141</c:v>
                </c:pt>
                <c:pt idx="69">
                  <c:v>434.13835569689809</c:v>
                </c:pt>
                <c:pt idx="70">
                  <c:v>450.19509484313545</c:v>
                </c:pt>
                <c:pt idx="71">
                  <c:v>500.00795947037659</c:v>
                </c:pt>
                <c:pt idx="72">
                  <c:v>460.24343765762364</c:v>
                </c:pt>
                <c:pt idx="73">
                  <c:v>523.15199314870722</c:v>
                </c:pt>
                <c:pt idx="74">
                  <c:v>557.99072723172083</c:v>
                </c:pt>
                <c:pt idx="75">
                  <c:v>550.25259928956905</c:v>
                </c:pt>
                <c:pt idx="76">
                  <c:v>550.0666824270595</c:v>
                </c:pt>
                <c:pt idx="77">
                  <c:v>473.7015264966704</c:v>
                </c:pt>
                <c:pt idx="78">
                  <c:v>467.11312608544108</c:v>
                </c:pt>
              </c:numCache>
            </c:numRef>
          </c:val>
          <c:extLst>
            <c:ext xmlns:c16="http://schemas.microsoft.com/office/drawing/2014/chart" uri="{C3380CC4-5D6E-409C-BE32-E72D297353CC}">
              <c16:uniqueId val="{00000000-E3AC-4C27-9AE0-6ECB48D0B49F}"/>
            </c:ext>
          </c:extLst>
        </c:ser>
        <c:dLbls>
          <c:showLegendKey val="0"/>
          <c:showVal val="0"/>
          <c:showCatName val="0"/>
          <c:showSerName val="0"/>
          <c:showPercent val="0"/>
          <c:showBubbleSize val="0"/>
        </c:dLbls>
        <c:axId val="1270162032"/>
        <c:axId val="1270155800"/>
      </c:areaChart>
      <c:lineChart>
        <c:grouping val="standard"/>
        <c:varyColors val="0"/>
        <c:ser>
          <c:idx val="3"/>
          <c:order val="3"/>
          <c:tx>
            <c:strRef>
              <c:f>YieldPrem!$E$4</c:f>
              <c:strCache>
                <c:ptCount val="1"/>
                <c:pt idx="0">
                  <c:v>LR Average</c:v>
                </c:pt>
              </c:strCache>
            </c:strRef>
          </c:tx>
          <c:spPr>
            <a:ln w="19050" cap="rnd">
              <a:solidFill>
                <a:schemeClr val="tx1"/>
              </a:solidFill>
              <a:prstDash val="dash"/>
              <a:round/>
            </a:ln>
            <a:effectLst/>
          </c:spPr>
          <c:marker>
            <c:symbol val="none"/>
          </c:marker>
          <c:val>
            <c:numRef>
              <c:f>YieldPrem!$E$5:$E$83</c:f>
              <c:numCache>
                <c:formatCode>0</c:formatCode>
                <c:ptCount val="79"/>
                <c:pt idx="0">
                  <c:v>349.84230171868819</c:v>
                </c:pt>
                <c:pt idx="1">
                  <c:v>349.84230171868819</c:v>
                </c:pt>
                <c:pt idx="2">
                  <c:v>349.84230171868819</c:v>
                </c:pt>
                <c:pt idx="3">
                  <c:v>349.84230171868819</c:v>
                </c:pt>
                <c:pt idx="4">
                  <c:v>349.84230171868819</c:v>
                </c:pt>
                <c:pt idx="5">
                  <c:v>349.84230171868819</c:v>
                </c:pt>
                <c:pt idx="6">
                  <c:v>349.84230171868819</c:v>
                </c:pt>
                <c:pt idx="7">
                  <c:v>349.84230171868819</c:v>
                </c:pt>
                <c:pt idx="8">
                  <c:v>349.84230171868819</c:v>
                </c:pt>
                <c:pt idx="9">
                  <c:v>349.84230171868819</c:v>
                </c:pt>
                <c:pt idx="10">
                  <c:v>349.84230171868819</c:v>
                </c:pt>
                <c:pt idx="11">
                  <c:v>349.84230171868819</c:v>
                </c:pt>
                <c:pt idx="12">
                  <c:v>349.84230171868819</c:v>
                </c:pt>
                <c:pt idx="13">
                  <c:v>349.84230171868819</c:v>
                </c:pt>
                <c:pt idx="14">
                  <c:v>349.84230171868819</c:v>
                </c:pt>
                <c:pt idx="15">
                  <c:v>349.84230171868819</c:v>
                </c:pt>
                <c:pt idx="16">
                  <c:v>349.84230171868819</c:v>
                </c:pt>
                <c:pt idx="17">
                  <c:v>349.84230171868819</c:v>
                </c:pt>
                <c:pt idx="18">
                  <c:v>349.84230171868819</c:v>
                </c:pt>
                <c:pt idx="19">
                  <c:v>349.84230171868819</c:v>
                </c:pt>
                <c:pt idx="20">
                  <c:v>349.84230171868819</c:v>
                </c:pt>
                <c:pt idx="21">
                  <c:v>349.84230171868819</c:v>
                </c:pt>
                <c:pt idx="22">
                  <c:v>349.84230171868819</c:v>
                </c:pt>
                <c:pt idx="23">
                  <c:v>349.84230171868819</c:v>
                </c:pt>
                <c:pt idx="24">
                  <c:v>349.84230171868819</c:v>
                </c:pt>
                <c:pt idx="25">
                  <c:v>349.84230171868819</c:v>
                </c:pt>
                <c:pt idx="26">
                  <c:v>349.84230171868819</c:v>
                </c:pt>
                <c:pt idx="27">
                  <c:v>349.84230171868819</c:v>
                </c:pt>
                <c:pt idx="28">
                  <c:v>349.84230171868819</c:v>
                </c:pt>
                <c:pt idx="29">
                  <c:v>349.84230171868819</c:v>
                </c:pt>
                <c:pt idx="30">
                  <c:v>349.84230171868819</c:v>
                </c:pt>
                <c:pt idx="31">
                  <c:v>349.84230171868819</c:v>
                </c:pt>
                <c:pt idx="32">
                  <c:v>349.84230171868819</c:v>
                </c:pt>
                <c:pt idx="33">
                  <c:v>349.84230171868819</c:v>
                </c:pt>
                <c:pt idx="34">
                  <c:v>349.84230171868819</c:v>
                </c:pt>
                <c:pt idx="35">
                  <c:v>349.84230171868819</c:v>
                </c:pt>
                <c:pt idx="36">
                  <c:v>349.84230171868819</c:v>
                </c:pt>
                <c:pt idx="37">
                  <c:v>349.84230171868819</c:v>
                </c:pt>
                <c:pt idx="38">
                  <c:v>349.84230171868819</c:v>
                </c:pt>
                <c:pt idx="39">
                  <c:v>349.84230171868819</c:v>
                </c:pt>
                <c:pt idx="40">
                  <c:v>349.84230171868819</c:v>
                </c:pt>
                <c:pt idx="41">
                  <c:v>349.84230171868819</c:v>
                </c:pt>
                <c:pt idx="42">
                  <c:v>349.84230171868819</c:v>
                </c:pt>
                <c:pt idx="43">
                  <c:v>349.84230171868819</c:v>
                </c:pt>
                <c:pt idx="44">
                  <c:v>349.84230171868819</c:v>
                </c:pt>
                <c:pt idx="45">
                  <c:v>349.84230171868819</c:v>
                </c:pt>
                <c:pt idx="46">
                  <c:v>349.84230171868819</c:v>
                </c:pt>
                <c:pt idx="47">
                  <c:v>349.84230171868819</c:v>
                </c:pt>
                <c:pt idx="48">
                  <c:v>349.84230171868819</c:v>
                </c:pt>
                <c:pt idx="49">
                  <c:v>349.84230171868819</c:v>
                </c:pt>
                <c:pt idx="50">
                  <c:v>349.84230171868819</c:v>
                </c:pt>
                <c:pt idx="51">
                  <c:v>349.84230171868819</c:v>
                </c:pt>
                <c:pt idx="52">
                  <c:v>349.84230171868819</c:v>
                </c:pt>
                <c:pt idx="53">
                  <c:v>349.84230171868819</c:v>
                </c:pt>
                <c:pt idx="54">
                  <c:v>349.84230171868819</c:v>
                </c:pt>
                <c:pt idx="55">
                  <c:v>349.84230171868819</c:v>
                </c:pt>
                <c:pt idx="56">
                  <c:v>349.84230171868819</c:v>
                </c:pt>
                <c:pt idx="57">
                  <c:v>349.84230171868819</c:v>
                </c:pt>
                <c:pt idx="58">
                  <c:v>349.84230171868819</c:v>
                </c:pt>
                <c:pt idx="59">
                  <c:v>349.84230171868819</c:v>
                </c:pt>
                <c:pt idx="60">
                  <c:v>349.84230171868819</c:v>
                </c:pt>
                <c:pt idx="61">
                  <c:v>349.84230171868819</c:v>
                </c:pt>
                <c:pt idx="62">
                  <c:v>349.84230171868819</c:v>
                </c:pt>
                <c:pt idx="63">
                  <c:v>349.84230171868819</c:v>
                </c:pt>
                <c:pt idx="64">
                  <c:v>349.84230171868819</c:v>
                </c:pt>
                <c:pt idx="65">
                  <c:v>349.84230171868819</c:v>
                </c:pt>
                <c:pt idx="66">
                  <c:v>349.84230171868819</c:v>
                </c:pt>
                <c:pt idx="67">
                  <c:v>349.84230171868819</c:v>
                </c:pt>
                <c:pt idx="68">
                  <c:v>349.84230171868819</c:v>
                </c:pt>
                <c:pt idx="69">
                  <c:v>349.84230171868819</c:v>
                </c:pt>
                <c:pt idx="70">
                  <c:v>349.84230171868819</c:v>
                </c:pt>
                <c:pt idx="71">
                  <c:v>349.84230171868819</c:v>
                </c:pt>
                <c:pt idx="72">
                  <c:v>349.84230171868819</c:v>
                </c:pt>
                <c:pt idx="73">
                  <c:v>349.84230171868819</c:v>
                </c:pt>
                <c:pt idx="74">
                  <c:v>349.84230171868819</c:v>
                </c:pt>
                <c:pt idx="75">
                  <c:v>349.84230171868819</c:v>
                </c:pt>
                <c:pt idx="76">
                  <c:v>349.84230171868819</c:v>
                </c:pt>
                <c:pt idx="77">
                  <c:v>349.84230171868819</c:v>
                </c:pt>
                <c:pt idx="78">
                  <c:v>349.84230171868819</c:v>
                </c:pt>
              </c:numCache>
            </c:numRef>
          </c:val>
          <c:smooth val="0"/>
          <c:extLst>
            <c:ext xmlns:c16="http://schemas.microsoft.com/office/drawing/2014/chart" uri="{C3380CC4-5D6E-409C-BE32-E72D297353CC}">
              <c16:uniqueId val="{00000001-E3AC-4C27-9AE0-6ECB48D0B49F}"/>
            </c:ext>
          </c:extLst>
        </c:ser>
        <c:dLbls>
          <c:showLegendKey val="0"/>
          <c:showVal val="0"/>
          <c:showCatName val="0"/>
          <c:showSerName val="0"/>
          <c:showPercent val="0"/>
          <c:showBubbleSize val="0"/>
        </c:dLbls>
        <c:marker val="1"/>
        <c:smooth val="0"/>
        <c:axId val="1270162032"/>
        <c:axId val="1270155800"/>
      </c:lineChart>
      <c:lineChart>
        <c:grouping val="standard"/>
        <c:varyColors val="0"/>
        <c:ser>
          <c:idx val="0"/>
          <c:order val="0"/>
          <c:tx>
            <c:strRef>
              <c:f>YieldPrem!$B$4</c:f>
              <c:strCache>
                <c:ptCount val="1"/>
                <c:pt idx="0">
                  <c:v>10yr Gilts</c:v>
                </c:pt>
              </c:strCache>
            </c:strRef>
          </c:tx>
          <c:spPr>
            <a:ln w="28575" cap="rnd">
              <a:solidFill>
                <a:schemeClr val="accent1"/>
              </a:solidFill>
              <a:round/>
            </a:ln>
            <a:effectLst/>
          </c:spPr>
          <c:marker>
            <c:symbol val="none"/>
          </c:marker>
          <c:cat>
            <c:numRef>
              <c:f>YieldPrem!$A$5:$A$97</c:f>
              <c:numCache>
                <c:formatCode>m/d/yyyy</c:formatCode>
                <c:ptCount val="93"/>
                <c:pt idx="0">
                  <c:v>37165</c:v>
                </c:pt>
                <c:pt idx="1">
                  <c:v>37257</c:v>
                </c:pt>
                <c:pt idx="2">
                  <c:v>37347</c:v>
                </c:pt>
                <c:pt idx="3">
                  <c:v>37438</c:v>
                </c:pt>
                <c:pt idx="4">
                  <c:v>37530</c:v>
                </c:pt>
                <c:pt idx="5">
                  <c:v>37622</c:v>
                </c:pt>
                <c:pt idx="6">
                  <c:v>37712</c:v>
                </c:pt>
                <c:pt idx="7">
                  <c:v>37803</c:v>
                </c:pt>
                <c:pt idx="8">
                  <c:v>37895</c:v>
                </c:pt>
                <c:pt idx="9">
                  <c:v>37987</c:v>
                </c:pt>
                <c:pt idx="10">
                  <c:v>38078</c:v>
                </c:pt>
                <c:pt idx="11">
                  <c:v>38169</c:v>
                </c:pt>
                <c:pt idx="12">
                  <c:v>38261</c:v>
                </c:pt>
                <c:pt idx="13">
                  <c:v>38353</c:v>
                </c:pt>
                <c:pt idx="14">
                  <c:v>38443</c:v>
                </c:pt>
                <c:pt idx="15">
                  <c:v>38534</c:v>
                </c:pt>
                <c:pt idx="16">
                  <c:v>38626</c:v>
                </c:pt>
                <c:pt idx="17">
                  <c:v>38718</c:v>
                </c:pt>
                <c:pt idx="18">
                  <c:v>38808</c:v>
                </c:pt>
                <c:pt idx="19">
                  <c:v>38899</c:v>
                </c:pt>
                <c:pt idx="20">
                  <c:v>38991</c:v>
                </c:pt>
                <c:pt idx="21">
                  <c:v>39083</c:v>
                </c:pt>
                <c:pt idx="22">
                  <c:v>39173</c:v>
                </c:pt>
                <c:pt idx="23">
                  <c:v>39264</c:v>
                </c:pt>
                <c:pt idx="24">
                  <c:v>39356</c:v>
                </c:pt>
                <c:pt idx="25">
                  <c:v>39448</c:v>
                </c:pt>
                <c:pt idx="26">
                  <c:v>39539</c:v>
                </c:pt>
                <c:pt idx="27">
                  <c:v>39630</c:v>
                </c:pt>
                <c:pt idx="28">
                  <c:v>39722</c:v>
                </c:pt>
                <c:pt idx="29">
                  <c:v>39814</c:v>
                </c:pt>
                <c:pt idx="30">
                  <c:v>39904</c:v>
                </c:pt>
                <c:pt idx="31">
                  <c:v>39995</c:v>
                </c:pt>
                <c:pt idx="32">
                  <c:v>40087</c:v>
                </c:pt>
                <c:pt idx="33">
                  <c:v>40179</c:v>
                </c:pt>
                <c:pt idx="34">
                  <c:v>40269</c:v>
                </c:pt>
                <c:pt idx="35">
                  <c:v>40360</c:v>
                </c:pt>
                <c:pt idx="36">
                  <c:v>40452</c:v>
                </c:pt>
                <c:pt idx="37">
                  <c:v>40544</c:v>
                </c:pt>
                <c:pt idx="38">
                  <c:v>40634</c:v>
                </c:pt>
                <c:pt idx="39">
                  <c:v>40725</c:v>
                </c:pt>
                <c:pt idx="40">
                  <c:v>40817</c:v>
                </c:pt>
                <c:pt idx="41">
                  <c:v>40909</c:v>
                </c:pt>
                <c:pt idx="42">
                  <c:v>41000</c:v>
                </c:pt>
                <c:pt idx="43">
                  <c:v>41091</c:v>
                </c:pt>
                <c:pt idx="44">
                  <c:v>41183</c:v>
                </c:pt>
                <c:pt idx="45">
                  <c:v>41275</c:v>
                </c:pt>
                <c:pt idx="46">
                  <c:v>41365</c:v>
                </c:pt>
                <c:pt idx="47">
                  <c:v>41456</c:v>
                </c:pt>
                <c:pt idx="48">
                  <c:v>41548</c:v>
                </c:pt>
                <c:pt idx="49">
                  <c:v>41640</c:v>
                </c:pt>
                <c:pt idx="50">
                  <c:v>41730</c:v>
                </c:pt>
                <c:pt idx="51">
                  <c:v>41821</c:v>
                </c:pt>
                <c:pt idx="52">
                  <c:v>41913</c:v>
                </c:pt>
                <c:pt idx="53">
                  <c:v>42005</c:v>
                </c:pt>
                <c:pt idx="54">
                  <c:v>42095</c:v>
                </c:pt>
                <c:pt idx="55">
                  <c:v>42186</c:v>
                </c:pt>
                <c:pt idx="56">
                  <c:v>42278</c:v>
                </c:pt>
                <c:pt idx="57">
                  <c:v>42370</c:v>
                </c:pt>
                <c:pt idx="58">
                  <c:v>42461</c:v>
                </c:pt>
                <c:pt idx="59">
                  <c:v>42552</c:v>
                </c:pt>
                <c:pt idx="60">
                  <c:v>42644</c:v>
                </c:pt>
                <c:pt idx="61">
                  <c:v>42736</c:v>
                </c:pt>
                <c:pt idx="62">
                  <c:v>42826</c:v>
                </c:pt>
                <c:pt idx="63">
                  <c:v>42917</c:v>
                </c:pt>
                <c:pt idx="64">
                  <c:v>43009</c:v>
                </c:pt>
                <c:pt idx="65">
                  <c:v>43101</c:v>
                </c:pt>
                <c:pt idx="66">
                  <c:v>43191</c:v>
                </c:pt>
                <c:pt idx="67">
                  <c:v>43282</c:v>
                </c:pt>
                <c:pt idx="68">
                  <c:v>43374</c:v>
                </c:pt>
                <c:pt idx="69">
                  <c:v>43466</c:v>
                </c:pt>
                <c:pt idx="70">
                  <c:v>43556</c:v>
                </c:pt>
                <c:pt idx="71">
                  <c:v>43647</c:v>
                </c:pt>
                <c:pt idx="72">
                  <c:v>43739</c:v>
                </c:pt>
                <c:pt idx="73">
                  <c:v>43831</c:v>
                </c:pt>
                <c:pt idx="74">
                  <c:v>43922</c:v>
                </c:pt>
                <c:pt idx="75">
                  <c:v>44013</c:v>
                </c:pt>
                <c:pt idx="76">
                  <c:v>44105</c:v>
                </c:pt>
                <c:pt idx="77">
                  <c:v>44197</c:v>
                </c:pt>
                <c:pt idx="78">
                  <c:v>44287</c:v>
                </c:pt>
              </c:numCache>
            </c:numRef>
          </c:cat>
          <c:val>
            <c:numRef>
              <c:f>YieldPrem!$B$5:$B$83</c:f>
              <c:numCache>
                <c:formatCode>General</c:formatCode>
                <c:ptCount val="79"/>
                <c:pt idx="0">
                  <c:v>5.0929000000000002</c:v>
                </c:pt>
                <c:pt idx="1">
                  <c:v>5.3136999999999999</c:v>
                </c:pt>
                <c:pt idx="2">
                  <c:v>5.0312999999999999</c:v>
                </c:pt>
                <c:pt idx="3">
                  <c:v>4.4211999999999998</c:v>
                </c:pt>
                <c:pt idx="4">
                  <c:v>4.4065000000000003</c:v>
                </c:pt>
                <c:pt idx="5">
                  <c:v>4.3410000000000002</c:v>
                </c:pt>
                <c:pt idx="6">
                  <c:v>4.2522000000000002</c:v>
                </c:pt>
                <c:pt idx="7">
                  <c:v>4.5949999999999998</c:v>
                </c:pt>
                <c:pt idx="8">
                  <c:v>4.7999000000000001</c:v>
                </c:pt>
                <c:pt idx="9">
                  <c:v>4.7560000000000002</c:v>
                </c:pt>
                <c:pt idx="10">
                  <c:v>5.1173999999999999</c:v>
                </c:pt>
                <c:pt idx="11">
                  <c:v>4.8375000000000004</c:v>
                </c:pt>
                <c:pt idx="12">
                  <c:v>4.5297999999999998</c:v>
                </c:pt>
                <c:pt idx="13">
                  <c:v>4.6874000000000002</c:v>
                </c:pt>
                <c:pt idx="14">
                  <c:v>4.1824000000000003</c:v>
                </c:pt>
                <c:pt idx="15">
                  <c:v>4.2862999999999998</c:v>
                </c:pt>
                <c:pt idx="16">
                  <c:v>4.0987</c:v>
                </c:pt>
                <c:pt idx="17">
                  <c:v>4.3993000000000002</c:v>
                </c:pt>
                <c:pt idx="18">
                  <c:v>4.7196999999999996</c:v>
                </c:pt>
                <c:pt idx="19">
                  <c:v>4.5266999999999999</c:v>
                </c:pt>
                <c:pt idx="20">
                  <c:v>4.7293000000000003</c:v>
                </c:pt>
                <c:pt idx="21">
                  <c:v>4.9612999999999996</c:v>
                </c:pt>
                <c:pt idx="22">
                  <c:v>5.4813999999999998</c:v>
                </c:pt>
                <c:pt idx="23">
                  <c:v>5.0194000000000001</c:v>
                </c:pt>
                <c:pt idx="24">
                  <c:v>4.5551000000000004</c:v>
                </c:pt>
                <c:pt idx="25">
                  <c:v>4.4114000000000004</c:v>
                </c:pt>
                <c:pt idx="26">
                  <c:v>5.2340999999999998</c:v>
                </c:pt>
                <c:pt idx="27">
                  <c:v>4.5191999999999997</c:v>
                </c:pt>
                <c:pt idx="28">
                  <c:v>3.35</c:v>
                </c:pt>
                <c:pt idx="29">
                  <c:v>3.2330000000000001</c:v>
                </c:pt>
                <c:pt idx="30">
                  <c:v>3.6291000000000002</c:v>
                </c:pt>
                <c:pt idx="31">
                  <c:v>3.6109</c:v>
                </c:pt>
                <c:pt idx="32">
                  <c:v>4.0669000000000004</c:v>
                </c:pt>
                <c:pt idx="33">
                  <c:v>4.0275999999999996</c:v>
                </c:pt>
                <c:pt idx="34">
                  <c:v>3.4866999999999999</c:v>
                </c:pt>
                <c:pt idx="35">
                  <c:v>3.0457000000000001</c:v>
                </c:pt>
                <c:pt idx="36">
                  <c:v>3.5154000000000001</c:v>
                </c:pt>
                <c:pt idx="37">
                  <c:v>3.7881999999999998</c:v>
                </c:pt>
                <c:pt idx="38">
                  <c:v>3.5432999999999999</c:v>
                </c:pt>
                <c:pt idx="39">
                  <c:v>2.4559000000000002</c:v>
                </c:pt>
                <c:pt idx="40">
                  <c:v>2.0604</c:v>
                </c:pt>
                <c:pt idx="41">
                  <c:v>2.2791999999999999</c:v>
                </c:pt>
                <c:pt idx="42">
                  <c:v>1.8224</c:v>
                </c:pt>
                <c:pt idx="43">
                  <c:v>1.6637</c:v>
                </c:pt>
                <c:pt idx="44">
                  <c:v>1.8378000000000001</c:v>
                </c:pt>
                <c:pt idx="45">
                  <c:v>1.8401000000000001</c:v>
                </c:pt>
                <c:pt idx="46">
                  <c:v>2.5350999999999999</c:v>
                </c:pt>
                <c:pt idx="47">
                  <c:v>2.6787999999999998</c:v>
                </c:pt>
                <c:pt idx="48">
                  <c:v>3.0466000000000002</c:v>
                </c:pt>
                <c:pt idx="49">
                  <c:v>2.7898999999999998</c:v>
                </c:pt>
                <c:pt idx="50">
                  <c:v>2.7673000000000001</c:v>
                </c:pt>
                <c:pt idx="51">
                  <c:v>2.4504000000000001</c:v>
                </c:pt>
                <c:pt idx="52">
                  <c:v>1.8154999999999999</c:v>
                </c:pt>
                <c:pt idx="53">
                  <c:v>1.6969000000000001</c:v>
                </c:pt>
                <c:pt idx="54">
                  <c:v>2.1373000000000002</c:v>
                </c:pt>
                <c:pt idx="55">
                  <c:v>1.8137000000000001</c:v>
                </c:pt>
                <c:pt idx="56">
                  <c:v>2.0247999999999999</c:v>
                </c:pt>
                <c:pt idx="57">
                  <c:v>1.4963</c:v>
                </c:pt>
                <c:pt idx="58">
                  <c:v>1.0416000000000001</c:v>
                </c:pt>
                <c:pt idx="59">
                  <c:v>0.82330000000000003</c:v>
                </c:pt>
                <c:pt idx="60">
                  <c:v>1.2817000000000001</c:v>
                </c:pt>
                <c:pt idx="61">
                  <c:v>1.1220000000000001</c:v>
                </c:pt>
                <c:pt idx="62">
                  <c:v>1.284</c:v>
                </c:pt>
                <c:pt idx="63">
                  <c:v>1.3828</c:v>
                </c:pt>
                <c:pt idx="64">
                  <c:v>1.2536</c:v>
                </c:pt>
                <c:pt idx="65">
                  <c:v>1.4096</c:v>
                </c:pt>
                <c:pt idx="66">
                  <c:v>1.3821000000000001</c:v>
                </c:pt>
                <c:pt idx="67">
                  <c:v>1.5588</c:v>
                </c:pt>
                <c:pt idx="68">
                  <c:v>1.3339000000000001</c:v>
                </c:pt>
                <c:pt idx="69">
                  <c:v>1.0945</c:v>
                </c:pt>
                <c:pt idx="70">
                  <c:v>0.95089999999999997</c:v>
                </c:pt>
                <c:pt idx="71">
                  <c:v>0.50919999999999999</c:v>
                </c:pt>
                <c:pt idx="72">
                  <c:v>0.91290000000000004</c:v>
                </c:pt>
                <c:pt idx="73">
                  <c:v>0.41899999999999998</c:v>
                </c:pt>
                <c:pt idx="74">
                  <c:v>0.2074</c:v>
                </c:pt>
                <c:pt idx="75">
                  <c:v>0.27739999999999998</c:v>
                </c:pt>
                <c:pt idx="76">
                  <c:v>0.25130000000000002</c:v>
                </c:pt>
                <c:pt idx="77">
                  <c:v>0.91080000000000005</c:v>
                </c:pt>
                <c:pt idx="78">
                  <c:v>0.82289999999999996</c:v>
                </c:pt>
              </c:numCache>
            </c:numRef>
          </c:val>
          <c:smooth val="0"/>
          <c:extLst>
            <c:ext xmlns:c16="http://schemas.microsoft.com/office/drawing/2014/chart" uri="{C3380CC4-5D6E-409C-BE32-E72D297353CC}">
              <c16:uniqueId val="{00000002-E3AC-4C27-9AE0-6ECB48D0B49F}"/>
            </c:ext>
          </c:extLst>
        </c:ser>
        <c:ser>
          <c:idx val="1"/>
          <c:order val="1"/>
          <c:tx>
            <c:strRef>
              <c:f>YieldPrem!$C$4</c:f>
              <c:strCache>
                <c:ptCount val="1"/>
                <c:pt idx="0">
                  <c:v>MSCI Equivalent Yield</c:v>
                </c:pt>
              </c:strCache>
            </c:strRef>
          </c:tx>
          <c:spPr>
            <a:ln w="28575" cap="rnd">
              <a:solidFill>
                <a:schemeClr val="accent2"/>
              </a:solidFill>
              <a:round/>
            </a:ln>
            <a:effectLst/>
          </c:spPr>
          <c:marker>
            <c:symbol val="none"/>
          </c:marker>
          <c:cat>
            <c:numRef>
              <c:f>YieldPrem!$A$5:$A$97</c:f>
              <c:numCache>
                <c:formatCode>m/d/yyyy</c:formatCode>
                <c:ptCount val="93"/>
                <c:pt idx="0">
                  <c:v>37165</c:v>
                </c:pt>
                <c:pt idx="1">
                  <c:v>37257</c:v>
                </c:pt>
                <c:pt idx="2">
                  <c:v>37347</c:v>
                </c:pt>
                <c:pt idx="3">
                  <c:v>37438</c:v>
                </c:pt>
                <c:pt idx="4">
                  <c:v>37530</c:v>
                </c:pt>
                <c:pt idx="5">
                  <c:v>37622</c:v>
                </c:pt>
                <c:pt idx="6">
                  <c:v>37712</c:v>
                </c:pt>
                <c:pt idx="7">
                  <c:v>37803</c:v>
                </c:pt>
                <c:pt idx="8">
                  <c:v>37895</c:v>
                </c:pt>
                <c:pt idx="9">
                  <c:v>37987</c:v>
                </c:pt>
                <c:pt idx="10">
                  <c:v>38078</c:v>
                </c:pt>
                <c:pt idx="11">
                  <c:v>38169</c:v>
                </c:pt>
                <c:pt idx="12">
                  <c:v>38261</c:v>
                </c:pt>
                <c:pt idx="13">
                  <c:v>38353</c:v>
                </c:pt>
                <c:pt idx="14">
                  <c:v>38443</c:v>
                </c:pt>
                <c:pt idx="15">
                  <c:v>38534</c:v>
                </c:pt>
                <c:pt idx="16">
                  <c:v>38626</c:v>
                </c:pt>
                <c:pt idx="17">
                  <c:v>38718</c:v>
                </c:pt>
                <c:pt idx="18">
                  <c:v>38808</c:v>
                </c:pt>
                <c:pt idx="19">
                  <c:v>38899</c:v>
                </c:pt>
                <c:pt idx="20">
                  <c:v>38991</c:v>
                </c:pt>
                <c:pt idx="21">
                  <c:v>39083</c:v>
                </c:pt>
                <c:pt idx="22">
                  <c:v>39173</c:v>
                </c:pt>
                <c:pt idx="23">
                  <c:v>39264</c:v>
                </c:pt>
                <c:pt idx="24">
                  <c:v>39356</c:v>
                </c:pt>
                <c:pt idx="25">
                  <c:v>39448</c:v>
                </c:pt>
                <c:pt idx="26">
                  <c:v>39539</c:v>
                </c:pt>
                <c:pt idx="27">
                  <c:v>39630</c:v>
                </c:pt>
                <c:pt idx="28">
                  <c:v>39722</c:v>
                </c:pt>
                <c:pt idx="29">
                  <c:v>39814</c:v>
                </c:pt>
                <c:pt idx="30">
                  <c:v>39904</c:v>
                </c:pt>
                <c:pt idx="31">
                  <c:v>39995</c:v>
                </c:pt>
                <c:pt idx="32">
                  <c:v>40087</c:v>
                </c:pt>
                <c:pt idx="33">
                  <c:v>40179</c:v>
                </c:pt>
                <c:pt idx="34">
                  <c:v>40269</c:v>
                </c:pt>
                <c:pt idx="35">
                  <c:v>40360</c:v>
                </c:pt>
                <c:pt idx="36">
                  <c:v>40452</c:v>
                </c:pt>
                <c:pt idx="37">
                  <c:v>40544</c:v>
                </c:pt>
                <c:pt idx="38">
                  <c:v>40634</c:v>
                </c:pt>
                <c:pt idx="39">
                  <c:v>40725</c:v>
                </c:pt>
                <c:pt idx="40">
                  <c:v>40817</c:v>
                </c:pt>
                <c:pt idx="41">
                  <c:v>40909</c:v>
                </c:pt>
                <c:pt idx="42">
                  <c:v>41000</c:v>
                </c:pt>
                <c:pt idx="43">
                  <c:v>41091</c:v>
                </c:pt>
                <c:pt idx="44">
                  <c:v>41183</c:v>
                </c:pt>
                <c:pt idx="45">
                  <c:v>41275</c:v>
                </c:pt>
                <c:pt idx="46">
                  <c:v>41365</c:v>
                </c:pt>
                <c:pt idx="47">
                  <c:v>41456</c:v>
                </c:pt>
                <c:pt idx="48">
                  <c:v>41548</c:v>
                </c:pt>
                <c:pt idx="49">
                  <c:v>41640</c:v>
                </c:pt>
                <c:pt idx="50">
                  <c:v>41730</c:v>
                </c:pt>
                <c:pt idx="51">
                  <c:v>41821</c:v>
                </c:pt>
                <c:pt idx="52">
                  <c:v>41913</c:v>
                </c:pt>
                <c:pt idx="53">
                  <c:v>42005</c:v>
                </c:pt>
                <c:pt idx="54">
                  <c:v>42095</c:v>
                </c:pt>
                <c:pt idx="55">
                  <c:v>42186</c:v>
                </c:pt>
                <c:pt idx="56">
                  <c:v>42278</c:v>
                </c:pt>
                <c:pt idx="57">
                  <c:v>42370</c:v>
                </c:pt>
                <c:pt idx="58">
                  <c:v>42461</c:v>
                </c:pt>
                <c:pt idx="59">
                  <c:v>42552</c:v>
                </c:pt>
                <c:pt idx="60">
                  <c:v>42644</c:v>
                </c:pt>
                <c:pt idx="61">
                  <c:v>42736</c:v>
                </c:pt>
                <c:pt idx="62">
                  <c:v>42826</c:v>
                </c:pt>
                <c:pt idx="63">
                  <c:v>42917</c:v>
                </c:pt>
                <c:pt idx="64">
                  <c:v>43009</c:v>
                </c:pt>
                <c:pt idx="65">
                  <c:v>43101</c:v>
                </c:pt>
                <c:pt idx="66">
                  <c:v>43191</c:v>
                </c:pt>
                <c:pt idx="67">
                  <c:v>43282</c:v>
                </c:pt>
                <c:pt idx="68">
                  <c:v>43374</c:v>
                </c:pt>
                <c:pt idx="69">
                  <c:v>43466</c:v>
                </c:pt>
                <c:pt idx="70">
                  <c:v>43556</c:v>
                </c:pt>
                <c:pt idx="71">
                  <c:v>43647</c:v>
                </c:pt>
                <c:pt idx="72">
                  <c:v>43739</c:v>
                </c:pt>
                <c:pt idx="73">
                  <c:v>43831</c:v>
                </c:pt>
                <c:pt idx="74">
                  <c:v>43922</c:v>
                </c:pt>
                <c:pt idx="75">
                  <c:v>44013</c:v>
                </c:pt>
                <c:pt idx="76">
                  <c:v>44105</c:v>
                </c:pt>
                <c:pt idx="77">
                  <c:v>44197</c:v>
                </c:pt>
                <c:pt idx="78">
                  <c:v>44287</c:v>
                </c:pt>
              </c:numCache>
            </c:numRef>
          </c:cat>
          <c:val>
            <c:numRef>
              <c:f>YieldPrem!$C$5:$C$83</c:f>
              <c:numCache>
                <c:formatCode>0.00</c:formatCode>
                <c:ptCount val="79"/>
                <c:pt idx="0">
                  <c:v>7.8920599999999999</c:v>
                </c:pt>
                <c:pt idx="1">
                  <c:v>7.8540599999999996</c:v>
                </c:pt>
                <c:pt idx="2">
                  <c:v>7.7510899999999996</c:v>
                </c:pt>
                <c:pt idx="3">
                  <c:v>7.66669</c:v>
                </c:pt>
                <c:pt idx="4">
                  <c:v>7.59476</c:v>
                </c:pt>
                <c:pt idx="5">
                  <c:v>7.5449299999999999</c:v>
                </c:pt>
                <c:pt idx="6">
                  <c:v>7.4785399999999997</c:v>
                </c:pt>
                <c:pt idx="7">
                  <c:v>7.3967799999999997</c:v>
                </c:pt>
                <c:pt idx="8">
                  <c:v>7.2198700000000002</c:v>
                </c:pt>
                <c:pt idx="9">
                  <c:v>7.1231999999999998</c:v>
                </c:pt>
                <c:pt idx="10">
                  <c:v>6.9188000000000001</c:v>
                </c:pt>
                <c:pt idx="11">
                  <c:v>6.7750599999999999</c:v>
                </c:pt>
                <c:pt idx="12">
                  <c:v>6.6065500000000004</c:v>
                </c:pt>
                <c:pt idx="13">
                  <c:v>6.5456500000000002</c:v>
                </c:pt>
                <c:pt idx="14">
                  <c:v>6.3761999999999999</c:v>
                </c:pt>
                <c:pt idx="15">
                  <c:v>6.1928400000000003</c:v>
                </c:pt>
                <c:pt idx="16">
                  <c:v>5.9066299999999998</c:v>
                </c:pt>
                <c:pt idx="17">
                  <c:v>5.7963699999999996</c:v>
                </c:pt>
                <c:pt idx="18">
                  <c:v>5.6199300000000001</c:v>
                </c:pt>
                <c:pt idx="19">
                  <c:v>5.51037</c:v>
                </c:pt>
                <c:pt idx="20">
                  <c:v>5.4106300000000003</c:v>
                </c:pt>
                <c:pt idx="21">
                  <c:v>5.38157</c:v>
                </c:pt>
                <c:pt idx="22">
                  <c:v>5.38645</c:v>
                </c:pt>
                <c:pt idx="23">
                  <c:v>5.5603999999999996</c:v>
                </c:pt>
                <c:pt idx="24">
                  <c:v>6.1304800000000004</c:v>
                </c:pt>
                <c:pt idx="25">
                  <c:v>6.4290799999999999</c:v>
                </c:pt>
                <c:pt idx="26">
                  <c:v>6.70113</c:v>
                </c:pt>
                <c:pt idx="27">
                  <c:v>7.1284799999999997</c:v>
                </c:pt>
                <c:pt idx="28">
                  <c:v>8.2705099999999998</c:v>
                </c:pt>
                <c:pt idx="29">
                  <c:v>8.8916299999999993</c:v>
                </c:pt>
                <c:pt idx="30">
                  <c:v>9.0695700000000006</c:v>
                </c:pt>
                <c:pt idx="31">
                  <c:v>8.8012099999999993</c:v>
                </c:pt>
                <c:pt idx="32">
                  <c:v>8.0302299999999995</c:v>
                </c:pt>
                <c:pt idx="33">
                  <c:v>7.5305299999999997</c:v>
                </c:pt>
                <c:pt idx="34">
                  <c:v>7.33317</c:v>
                </c:pt>
                <c:pt idx="35">
                  <c:v>7.24932</c:v>
                </c:pt>
                <c:pt idx="36">
                  <c:v>7.1467599999999996</c:v>
                </c:pt>
                <c:pt idx="37">
                  <c:v>7.0591499999999998</c:v>
                </c:pt>
                <c:pt idx="38">
                  <c:v>7.0003599999999997</c:v>
                </c:pt>
                <c:pt idx="39">
                  <c:v>6.95573</c:v>
                </c:pt>
                <c:pt idx="40">
                  <c:v>6.9163800000000002</c:v>
                </c:pt>
                <c:pt idx="41">
                  <c:v>6.9363299999999999</c:v>
                </c:pt>
                <c:pt idx="42">
                  <c:v>7.0680199999999997</c:v>
                </c:pt>
                <c:pt idx="43">
                  <c:v>7.0978399999999997</c:v>
                </c:pt>
                <c:pt idx="44">
                  <c:v>7.1161500000000002</c:v>
                </c:pt>
                <c:pt idx="45">
                  <c:v>7.1032900000000003</c:v>
                </c:pt>
                <c:pt idx="46">
                  <c:v>7.0733199999999998</c:v>
                </c:pt>
                <c:pt idx="47">
                  <c:v>6.9722999999999997</c:v>
                </c:pt>
                <c:pt idx="48">
                  <c:v>6.7591099999999997</c:v>
                </c:pt>
                <c:pt idx="49">
                  <c:v>6.6017799999999998</c:v>
                </c:pt>
                <c:pt idx="50">
                  <c:v>6.3929900000000002</c:v>
                </c:pt>
                <c:pt idx="51">
                  <c:v>6.2268800000000004</c:v>
                </c:pt>
                <c:pt idx="52">
                  <c:v>6.0659099999999997</c:v>
                </c:pt>
                <c:pt idx="53">
                  <c:v>5.9891699999999997</c:v>
                </c:pt>
                <c:pt idx="54">
                  <c:v>5.9025999999999996</c:v>
                </c:pt>
                <c:pt idx="55">
                  <c:v>5.8183299999999996</c:v>
                </c:pt>
                <c:pt idx="56">
                  <c:v>5.7431299999999998</c:v>
                </c:pt>
                <c:pt idx="57">
                  <c:v>5.7358099999999999</c:v>
                </c:pt>
                <c:pt idx="58">
                  <c:v>5.7522900000000003</c:v>
                </c:pt>
                <c:pt idx="59">
                  <c:v>5.8971400000000003</c:v>
                </c:pt>
                <c:pt idx="60">
                  <c:v>5.8293400000000002</c:v>
                </c:pt>
                <c:pt idx="61">
                  <c:v>5.7717799999999997</c:v>
                </c:pt>
                <c:pt idx="62">
                  <c:v>5.7114200000000004</c:v>
                </c:pt>
                <c:pt idx="63">
                  <c:v>5.6364999999999998</c:v>
                </c:pt>
                <c:pt idx="64">
                  <c:v>5.5466600000000001</c:v>
                </c:pt>
                <c:pt idx="65">
                  <c:v>5.4974400000000001</c:v>
                </c:pt>
                <c:pt idx="66">
                  <c:v>5.4627299999999996</c:v>
                </c:pt>
                <c:pt idx="67">
                  <c:v>5.4433199999999999</c:v>
                </c:pt>
                <c:pt idx="68">
                  <c:v>5.4523000000000001</c:v>
                </c:pt>
                <c:pt idx="69">
                  <c:v>5.4833999999999996</c:v>
                </c:pt>
                <c:pt idx="70">
                  <c:v>5.49566</c:v>
                </c:pt>
                <c:pt idx="71">
                  <c:v>5.5347400000000002</c:v>
                </c:pt>
                <c:pt idx="72">
                  <c:v>5.5573499999999996</c:v>
                </c:pt>
                <c:pt idx="73">
                  <c:v>5.6724399999999999</c:v>
                </c:pt>
                <c:pt idx="74">
                  <c:v>5.7988799999999996</c:v>
                </c:pt>
                <c:pt idx="75">
                  <c:v>5.7951899999999998</c:v>
                </c:pt>
                <c:pt idx="76">
                  <c:v>5.76579</c:v>
                </c:pt>
                <c:pt idx="77">
                  <c:v>5.6909599999999996</c:v>
                </c:pt>
                <c:pt idx="78">
                  <c:v>5.53247</c:v>
                </c:pt>
              </c:numCache>
            </c:numRef>
          </c:val>
          <c:smooth val="0"/>
          <c:extLst>
            <c:ext xmlns:c16="http://schemas.microsoft.com/office/drawing/2014/chart" uri="{C3380CC4-5D6E-409C-BE32-E72D297353CC}">
              <c16:uniqueId val="{00000003-E3AC-4C27-9AE0-6ECB48D0B49F}"/>
            </c:ext>
          </c:extLst>
        </c:ser>
        <c:dLbls>
          <c:showLegendKey val="0"/>
          <c:showVal val="0"/>
          <c:showCatName val="0"/>
          <c:showSerName val="0"/>
          <c:showPercent val="0"/>
          <c:showBubbleSize val="0"/>
        </c:dLbls>
        <c:marker val="1"/>
        <c:smooth val="0"/>
        <c:axId val="1089824064"/>
        <c:axId val="1089818816"/>
      </c:lineChart>
      <c:dateAx>
        <c:axId val="1270162032"/>
        <c:scaling>
          <c:orientation val="minMax"/>
        </c:scaling>
        <c:delete val="0"/>
        <c:axPos val="b"/>
        <c:numFmt formatCode="yyyy" sourceLinked="0"/>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270155800"/>
        <c:crosses val="autoZero"/>
        <c:auto val="1"/>
        <c:lblOffset val="100"/>
        <c:baseTimeUnit val="months"/>
        <c:majorUnit val="12"/>
        <c:majorTimeUnit val="months"/>
      </c:dateAx>
      <c:valAx>
        <c:axId val="1270155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a:t>Yield Premium (bps)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270162032"/>
        <c:crosses val="autoZero"/>
        <c:crossBetween val="between"/>
      </c:valAx>
      <c:valAx>
        <c:axId val="1089818816"/>
        <c:scaling>
          <c:orientation val="minMax"/>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a:t>Yields (%)</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089824064"/>
        <c:crosses val="max"/>
        <c:crossBetween val="between"/>
      </c:valAx>
      <c:dateAx>
        <c:axId val="1089824064"/>
        <c:scaling>
          <c:orientation val="minMax"/>
        </c:scaling>
        <c:delete val="1"/>
        <c:axPos val="b"/>
        <c:numFmt formatCode="m/d/yyyy" sourceLinked="1"/>
        <c:majorTickMark val="out"/>
        <c:minorTickMark val="none"/>
        <c:tickLblPos val="nextTo"/>
        <c:crossAx val="1089818816"/>
        <c:crosses val="autoZero"/>
        <c:auto val="1"/>
        <c:lblOffset val="100"/>
        <c:baseTimeUnit val="months"/>
        <c:majorUnit val="1"/>
        <c:minorUnit val="1"/>
      </c:dateAx>
      <c:spPr>
        <a:noFill/>
        <a:ln>
          <a:noFill/>
        </a:ln>
        <a:effectLst/>
      </c:spPr>
    </c:plotArea>
    <c:legend>
      <c:legendPos val="b"/>
      <c:layout>
        <c:manualLayout>
          <c:xMode val="edge"/>
          <c:yMode val="edge"/>
          <c:x val="8.9794545549355995E-2"/>
          <c:y val="0.86892249466779992"/>
          <c:w val="0.88459682475658719"/>
          <c:h val="7.1813375844378552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accent3">
        <a:lumMod val="20000"/>
        <a:lumOff val="80000"/>
      </a:schemeClr>
    </a:solidFill>
    <a:ln w="9525" cap="flat" cmpd="sng" algn="ctr">
      <a:solidFill>
        <a:schemeClr val="tx1">
          <a:lumMod val="15000"/>
          <a:lumOff val="85000"/>
        </a:schemeClr>
      </a:solidFill>
      <a:round/>
    </a:ln>
    <a:effectLst/>
  </c:spPr>
  <c:txPr>
    <a:bodyPr/>
    <a:lstStyle/>
    <a:p>
      <a:pPr>
        <a:defRPr sz="1000">
          <a:solidFill>
            <a:sysClr val="windowText" lastClr="000000"/>
          </a:solidFill>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0.01119</cdr:x>
      <cdr:y>0.92872</cdr:y>
    </cdr:from>
    <cdr:to>
      <cdr:x>0.5</cdr:x>
      <cdr:y>0.99608</cdr:y>
    </cdr:to>
    <cdr:sp macro="" textlink="">
      <cdr:nvSpPr>
        <cdr:cNvPr id="2" name="TextBox 1">
          <a:extLst xmlns:a="http://schemas.openxmlformats.org/drawingml/2006/main">
            <a:ext uri="{FF2B5EF4-FFF2-40B4-BE49-F238E27FC236}">
              <a16:creationId xmlns:a16="http://schemas.microsoft.com/office/drawing/2014/main" id="{33E586DB-22C8-401A-A5A8-8B52199D37B5}"/>
            </a:ext>
          </a:extLst>
        </cdr:cNvPr>
        <cdr:cNvSpPr txBox="1"/>
      </cdr:nvSpPr>
      <cdr:spPr>
        <a:xfrm xmlns:a="http://schemas.openxmlformats.org/drawingml/2006/main">
          <a:off x="64376" y="2895600"/>
          <a:ext cx="2812173" cy="21002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900"/>
            <a:t>Source:</a:t>
          </a:r>
          <a:r>
            <a:rPr lang="en-GB" sz="900" baseline="0"/>
            <a:t> MSCI Quarterly Index Q2 21, Macrobond</a:t>
          </a:r>
          <a:endParaRPr lang="en-GB" sz="9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1744</Words>
  <Characters>9945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Eisner</dc:creator>
  <cp:keywords/>
  <dc:description/>
  <cp:lastModifiedBy>Dana Eisner</cp:lastModifiedBy>
  <cp:revision>2</cp:revision>
  <cp:lastPrinted>2021-08-12T09:08:00Z</cp:lastPrinted>
  <dcterms:created xsi:type="dcterms:W3CDTF">2021-08-12T09:36:00Z</dcterms:created>
  <dcterms:modified xsi:type="dcterms:W3CDTF">2021-08-12T09:36:00Z</dcterms:modified>
</cp:coreProperties>
</file>