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1648A" w14:textId="77777777" w:rsidR="00A84410" w:rsidRDefault="00A84410" w:rsidP="003245D6">
      <w:pPr>
        <w:jc w:val="center"/>
        <w:rPr>
          <w:b/>
        </w:rPr>
      </w:pPr>
    </w:p>
    <w:p w14:paraId="3966C035" w14:textId="0F96057C" w:rsidR="00A84410" w:rsidRPr="00A84410" w:rsidRDefault="00A84410" w:rsidP="00A84410">
      <w:pPr>
        <w:jc w:val="right"/>
        <w:rPr>
          <w:rFonts w:ascii="Verdana" w:hAnsi="Verdana" w:cs="InvescoInterstate-Light"/>
          <w:bCs/>
          <w:color w:val="000000"/>
          <w:sz w:val="20"/>
          <w:lang w:eastAsia="en-GB"/>
        </w:rPr>
      </w:pPr>
      <w:r w:rsidRPr="001A1520">
        <w:rPr>
          <w:rFonts w:ascii="Verdana" w:hAnsi="Verdana" w:cs="InvescoInterstate-Light"/>
          <w:bCs/>
          <w:color w:val="000000"/>
          <w:sz w:val="20"/>
          <w:highlight w:val="yellow"/>
          <w:lang w:eastAsia="en-GB"/>
        </w:rPr>
        <w:t>London</w:t>
      </w:r>
      <w:r w:rsidR="00C30862" w:rsidRPr="001A1520">
        <w:rPr>
          <w:rFonts w:ascii="Verdana" w:hAnsi="Verdana" w:cs="InvescoInterstate-Light"/>
          <w:bCs/>
          <w:color w:val="000000"/>
          <w:sz w:val="20"/>
          <w:highlight w:val="yellow"/>
          <w:lang w:eastAsia="en-GB"/>
        </w:rPr>
        <w:t>, DATE</w:t>
      </w:r>
    </w:p>
    <w:p w14:paraId="35E8864C" w14:textId="77777777" w:rsidR="00A84410" w:rsidRPr="00A84410" w:rsidRDefault="00A84410" w:rsidP="00A84410">
      <w:pPr>
        <w:jc w:val="right"/>
        <w:rPr>
          <w:rFonts w:ascii="Verdana" w:hAnsi="Verdana" w:cs="InvescoInterstate-Light"/>
          <w:bCs/>
          <w:color w:val="000000"/>
          <w:sz w:val="20"/>
          <w:lang w:eastAsia="en-GB"/>
        </w:rPr>
      </w:pPr>
    </w:p>
    <w:p w14:paraId="3474F1AB" w14:textId="38254008" w:rsidR="00A84410" w:rsidRPr="00A84410" w:rsidRDefault="00A84410" w:rsidP="00A84410">
      <w:pPr>
        <w:rPr>
          <w:rFonts w:ascii="Verdana" w:hAnsi="Verdana" w:cs="InvescoInterstate-Light"/>
          <w:bCs/>
          <w:color w:val="000000"/>
          <w:sz w:val="20"/>
          <w:lang w:eastAsia="en-GB"/>
        </w:rPr>
      </w:pPr>
      <w:r w:rsidRPr="00A84410">
        <w:rPr>
          <w:rFonts w:ascii="Verdana" w:hAnsi="Verdana" w:cs="InvescoInterstate-Light"/>
          <w:bCs/>
          <w:color w:val="000000"/>
          <w:sz w:val="20"/>
          <w:lang w:eastAsia="en-GB"/>
        </w:rPr>
        <w:t xml:space="preserve">FOR </w:t>
      </w:r>
      <w:r w:rsidR="00D43A95">
        <w:rPr>
          <w:rFonts w:ascii="Verdana" w:hAnsi="Verdana" w:cs="InvescoInterstate-Light"/>
          <w:bCs/>
          <w:color w:val="000000"/>
          <w:sz w:val="20"/>
          <w:lang w:eastAsia="en-GB"/>
        </w:rPr>
        <w:t xml:space="preserve">TRADE </w:t>
      </w:r>
      <w:r w:rsidRPr="00A84410">
        <w:rPr>
          <w:rFonts w:ascii="Verdana" w:hAnsi="Verdana" w:cs="InvescoInterstate-Light"/>
          <w:bCs/>
          <w:color w:val="000000"/>
          <w:sz w:val="20"/>
          <w:lang w:eastAsia="en-GB"/>
        </w:rPr>
        <w:t>PRESS USE ONLY</w:t>
      </w:r>
    </w:p>
    <w:p w14:paraId="7565E5D9" w14:textId="03624B3C" w:rsidR="009F20EF" w:rsidRDefault="00A84410" w:rsidP="00697A9B">
      <w:pPr>
        <w:pStyle w:val="Kommentartext"/>
        <w:jc w:val="center"/>
        <w:rPr>
          <w:rFonts w:ascii="Verdana" w:eastAsia="Times New Roman" w:hAnsi="Verdana" w:cs="Times New Roman"/>
          <w:b/>
          <w:bCs/>
        </w:rPr>
      </w:pPr>
      <w:r>
        <w:rPr>
          <w:rFonts w:ascii="Verdana" w:eastAsia="Times New Roman" w:hAnsi="Verdana" w:cs="Times New Roman"/>
          <w:b/>
          <w:bCs/>
          <w:szCs w:val="24"/>
        </w:rPr>
        <w:br/>
      </w:r>
      <w:r w:rsidR="00697A9B">
        <w:rPr>
          <w:rFonts w:ascii="Verdana" w:eastAsia="Times New Roman" w:hAnsi="Verdana" w:cs="Times New Roman"/>
          <w:b/>
          <w:bCs/>
        </w:rPr>
        <w:t xml:space="preserve">90% OF INVESTORS RETURN FOR </w:t>
      </w:r>
      <w:r w:rsidR="001A1520" w:rsidRPr="001A1520">
        <w:rPr>
          <w:rFonts w:ascii="Verdana" w:eastAsia="Times New Roman" w:hAnsi="Verdana" w:cs="Times New Roman"/>
          <w:b/>
          <w:bCs/>
        </w:rPr>
        <w:t>INVESCO REAL ESTATE</w:t>
      </w:r>
      <w:r w:rsidR="009F20EF">
        <w:rPr>
          <w:rFonts w:ascii="Verdana" w:eastAsia="Times New Roman" w:hAnsi="Verdana" w:cs="Times New Roman"/>
          <w:b/>
          <w:bCs/>
        </w:rPr>
        <w:t xml:space="preserve">’S </w:t>
      </w:r>
    </w:p>
    <w:p w14:paraId="6CCD4FC8" w14:textId="39F428F2" w:rsidR="00056A59" w:rsidRDefault="001A1520" w:rsidP="009F20EF">
      <w:pPr>
        <w:pStyle w:val="Kommentartext"/>
        <w:jc w:val="center"/>
        <w:rPr>
          <w:rFonts w:ascii="Verdana" w:eastAsia="Times New Roman" w:hAnsi="Verdana" w:cs="Times New Roman"/>
          <w:b/>
          <w:bCs/>
        </w:rPr>
      </w:pPr>
      <w:r w:rsidRPr="001A1520">
        <w:rPr>
          <w:rFonts w:ascii="Verdana" w:eastAsia="Times New Roman" w:hAnsi="Verdana" w:cs="Times New Roman"/>
          <w:b/>
          <w:bCs/>
        </w:rPr>
        <w:t xml:space="preserve">SECOND </w:t>
      </w:r>
      <w:r w:rsidR="000D4422">
        <w:rPr>
          <w:rFonts w:ascii="Verdana" w:eastAsia="Times New Roman" w:hAnsi="Verdana" w:cs="Times New Roman"/>
          <w:b/>
          <w:bCs/>
        </w:rPr>
        <w:t>PAN-</w:t>
      </w:r>
      <w:r w:rsidR="00056A59">
        <w:rPr>
          <w:rFonts w:ascii="Verdana" w:eastAsia="Times New Roman" w:hAnsi="Verdana" w:cs="Times New Roman"/>
          <w:b/>
          <w:bCs/>
        </w:rPr>
        <w:t xml:space="preserve">EUROPEAN </w:t>
      </w:r>
      <w:r w:rsidRPr="001A1520">
        <w:rPr>
          <w:rFonts w:ascii="Verdana" w:eastAsia="Times New Roman" w:hAnsi="Verdana" w:cs="Times New Roman"/>
          <w:b/>
          <w:bCs/>
        </w:rPr>
        <w:t xml:space="preserve">VALUE-ADD FUND </w:t>
      </w:r>
    </w:p>
    <w:p w14:paraId="4AE53B04" w14:textId="2820FB9A" w:rsidR="003245D6" w:rsidRPr="00A84410" w:rsidRDefault="003245D6" w:rsidP="009F20EF">
      <w:pPr>
        <w:rPr>
          <w:rFonts w:ascii="Verdana" w:eastAsia="Times New Roman" w:hAnsi="Verdana" w:cs="Times New Roman"/>
          <w:b/>
          <w:bCs/>
          <w:sz w:val="20"/>
          <w:szCs w:val="24"/>
        </w:rPr>
      </w:pPr>
    </w:p>
    <w:p w14:paraId="2CFA0593" w14:textId="0CF57EF5" w:rsidR="00DE67B5" w:rsidRPr="00D13EC8" w:rsidRDefault="00695481" w:rsidP="00A84410">
      <w:pPr>
        <w:pStyle w:val="Listenabsatz"/>
        <w:numPr>
          <w:ilvl w:val="0"/>
          <w:numId w:val="2"/>
        </w:numPr>
        <w:spacing w:line="360" w:lineRule="auto"/>
        <w:ind w:left="357" w:hanging="357"/>
        <w:rPr>
          <w:rFonts w:ascii="Verdana" w:eastAsia="Times New Roman" w:hAnsi="Verdana" w:cs="Times New Roman"/>
          <w:bCs/>
          <w:sz w:val="20"/>
          <w:szCs w:val="20"/>
        </w:rPr>
      </w:pPr>
      <w:r w:rsidRPr="002A6511">
        <w:rPr>
          <w:rFonts w:ascii="Verdana" w:eastAsia="Times New Roman" w:hAnsi="Verdana" w:cs="Times New Roman"/>
          <w:bCs/>
          <w:sz w:val="20"/>
          <w:szCs w:val="20"/>
        </w:rPr>
        <w:t xml:space="preserve">Third close for </w:t>
      </w:r>
      <w:r w:rsidR="009F20EF" w:rsidRPr="002A6511">
        <w:rPr>
          <w:rFonts w:ascii="Verdana" w:eastAsia="Times New Roman" w:hAnsi="Verdana" w:cs="Times New Roman"/>
          <w:bCs/>
          <w:sz w:val="20"/>
          <w:szCs w:val="20"/>
        </w:rPr>
        <w:t>I</w:t>
      </w:r>
      <w:r w:rsidR="00DE67B5" w:rsidRPr="002A6511">
        <w:rPr>
          <w:rFonts w:ascii="Verdana" w:eastAsia="Times New Roman" w:hAnsi="Verdana" w:cs="Times New Roman"/>
          <w:bCs/>
          <w:sz w:val="20"/>
          <w:szCs w:val="20"/>
        </w:rPr>
        <w:t>nvesco Real Estate</w:t>
      </w:r>
      <w:r w:rsidRPr="002A6511">
        <w:rPr>
          <w:rFonts w:ascii="Verdana" w:eastAsia="Times New Roman" w:hAnsi="Verdana" w:cs="Times New Roman"/>
          <w:bCs/>
          <w:sz w:val="20"/>
          <w:szCs w:val="20"/>
        </w:rPr>
        <w:t>’s</w:t>
      </w:r>
      <w:r w:rsidR="00DE67B5" w:rsidRPr="002A6511">
        <w:rPr>
          <w:rFonts w:ascii="Verdana" w:eastAsia="Times New Roman" w:hAnsi="Verdana" w:cs="Times New Roman"/>
          <w:bCs/>
          <w:sz w:val="20"/>
          <w:szCs w:val="20"/>
        </w:rPr>
        <w:t xml:space="preserve"> second fund in </w:t>
      </w:r>
      <w:r w:rsidR="00D13EC8">
        <w:rPr>
          <w:rFonts w:ascii="Verdana" w:eastAsia="Times New Roman" w:hAnsi="Verdana" w:cs="Times New Roman"/>
          <w:bCs/>
          <w:sz w:val="20"/>
          <w:szCs w:val="20"/>
        </w:rPr>
        <w:t>pan-</w:t>
      </w:r>
      <w:r w:rsidR="0081309A" w:rsidRPr="002A6511">
        <w:rPr>
          <w:rFonts w:ascii="Verdana" w:eastAsia="Times New Roman" w:hAnsi="Verdana" w:cs="Times New Roman"/>
          <w:bCs/>
          <w:sz w:val="20"/>
          <w:szCs w:val="20"/>
        </w:rPr>
        <w:t xml:space="preserve">European Value-Add </w:t>
      </w:r>
      <w:r w:rsidR="00DE67B5" w:rsidRPr="00D13EC8">
        <w:rPr>
          <w:rFonts w:ascii="Verdana" w:eastAsia="Times New Roman" w:hAnsi="Verdana" w:cs="Times New Roman"/>
          <w:bCs/>
          <w:sz w:val="20"/>
          <w:szCs w:val="20"/>
        </w:rPr>
        <w:t>series</w:t>
      </w:r>
    </w:p>
    <w:p w14:paraId="7F58C3D9" w14:textId="41143F17" w:rsidR="0085281A" w:rsidRPr="002A6511" w:rsidRDefault="00224B3A" w:rsidP="00A84410">
      <w:pPr>
        <w:pStyle w:val="Listenabsatz"/>
        <w:numPr>
          <w:ilvl w:val="0"/>
          <w:numId w:val="2"/>
        </w:numPr>
        <w:spacing w:line="360" w:lineRule="auto"/>
        <w:ind w:left="357" w:hanging="357"/>
        <w:rPr>
          <w:rFonts w:ascii="Verdana" w:eastAsia="Times New Roman" w:hAnsi="Verdana" w:cs="Times New Roman"/>
          <w:bCs/>
          <w:sz w:val="20"/>
          <w:szCs w:val="20"/>
        </w:rPr>
      </w:pPr>
      <w:r w:rsidRPr="00D13EC8">
        <w:rPr>
          <w:rFonts w:ascii="Verdana" w:eastAsia="Times New Roman" w:hAnsi="Verdana" w:cs="Times New Roman"/>
          <w:bCs/>
          <w:sz w:val="20"/>
          <w:szCs w:val="20"/>
        </w:rPr>
        <w:t xml:space="preserve">€550 million raised from </w:t>
      </w:r>
      <w:r w:rsidR="00DE67B5" w:rsidRPr="00D13EC8">
        <w:rPr>
          <w:rFonts w:ascii="Verdana" w:eastAsia="Times New Roman" w:hAnsi="Verdana" w:cs="Times New Roman"/>
          <w:bCs/>
          <w:sz w:val="20"/>
          <w:szCs w:val="20"/>
        </w:rPr>
        <w:t xml:space="preserve">18 investors </w:t>
      </w:r>
      <w:r w:rsidRPr="00D13EC8">
        <w:rPr>
          <w:rFonts w:ascii="Verdana" w:eastAsia="Times New Roman" w:hAnsi="Verdana" w:cs="Times New Roman"/>
          <w:bCs/>
          <w:sz w:val="20"/>
          <w:szCs w:val="20"/>
        </w:rPr>
        <w:t>to date</w:t>
      </w:r>
      <w:r w:rsidR="00DE67B5" w:rsidRPr="00D13EC8">
        <w:rPr>
          <w:rFonts w:ascii="Verdana" w:eastAsia="Times New Roman" w:hAnsi="Verdana" w:cs="Times New Roman"/>
          <w:bCs/>
          <w:sz w:val="20"/>
          <w:szCs w:val="20"/>
        </w:rPr>
        <w:t xml:space="preserve">; final close targets </w:t>
      </w:r>
      <w:r w:rsidR="00DE67B5" w:rsidRPr="00D13EC8">
        <w:rPr>
          <w:rFonts w:ascii="Verdana" w:eastAsia="Times New Roman" w:hAnsi="Verdana" w:cs="InvescoInterstate-Light"/>
          <w:bCs/>
          <w:color w:val="000000"/>
          <w:sz w:val="20"/>
          <w:szCs w:val="20"/>
          <w:lang w:eastAsia="en-GB"/>
        </w:rPr>
        <w:t>€750</w:t>
      </w:r>
      <w:r w:rsidR="0095508F" w:rsidRPr="00D13EC8">
        <w:rPr>
          <w:rFonts w:ascii="Verdana" w:eastAsia="Times New Roman" w:hAnsi="Verdana" w:cs="InvescoInterstate-Light"/>
          <w:bCs/>
          <w:color w:val="000000"/>
          <w:sz w:val="20"/>
          <w:szCs w:val="20"/>
          <w:lang w:eastAsia="en-GB"/>
        </w:rPr>
        <w:t xml:space="preserve"> </w:t>
      </w:r>
      <w:r w:rsidR="00DE67B5" w:rsidRPr="00D13EC8">
        <w:rPr>
          <w:rFonts w:ascii="Verdana" w:eastAsia="Times New Roman" w:hAnsi="Verdana" w:cs="InvescoInterstate-Light"/>
          <w:bCs/>
          <w:color w:val="000000"/>
          <w:sz w:val="20"/>
          <w:szCs w:val="20"/>
          <w:lang w:eastAsia="en-GB"/>
        </w:rPr>
        <w:t>m</w:t>
      </w:r>
      <w:r w:rsidR="0095508F" w:rsidRPr="00D13EC8">
        <w:rPr>
          <w:rFonts w:ascii="Verdana" w:eastAsia="Times New Roman" w:hAnsi="Verdana" w:cs="InvescoInterstate-Light"/>
          <w:bCs/>
          <w:color w:val="000000"/>
          <w:sz w:val="20"/>
          <w:szCs w:val="20"/>
          <w:lang w:eastAsia="en-GB"/>
        </w:rPr>
        <w:t>illion</w:t>
      </w:r>
    </w:p>
    <w:p w14:paraId="2309CB41" w14:textId="40C53723" w:rsidR="00960F61" w:rsidRPr="00D13EC8" w:rsidRDefault="00DE67B5" w:rsidP="00DE67B5">
      <w:pPr>
        <w:pStyle w:val="Listenabsatz"/>
        <w:numPr>
          <w:ilvl w:val="0"/>
          <w:numId w:val="2"/>
        </w:numPr>
        <w:spacing w:line="360" w:lineRule="auto"/>
        <w:ind w:left="357" w:hanging="357"/>
        <w:rPr>
          <w:rFonts w:ascii="Verdana" w:eastAsia="Times New Roman" w:hAnsi="Verdana" w:cs="Times New Roman"/>
          <w:bCs/>
          <w:sz w:val="20"/>
          <w:szCs w:val="20"/>
        </w:rPr>
      </w:pPr>
      <w:r w:rsidRPr="002A6511">
        <w:rPr>
          <w:rFonts w:ascii="Verdana" w:eastAsia="Times New Roman" w:hAnsi="Verdana" w:cs="Times New Roman"/>
          <w:bCs/>
          <w:sz w:val="20"/>
          <w:szCs w:val="20"/>
        </w:rPr>
        <w:t xml:space="preserve">90% of </w:t>
      </w:r>
      <w:r w:rsidR="00695481" w:rsidRPr="002A6511">
        <w:rPr>
          <w:rFonts w:ascii="Verdana" w:eastAsia="Times New Roman" w:hAnsi="Verdana" w:cs="Times New Roman"/>
          <w:bCs/>
          <w:sz w:val="20"/>
          <w:szCs w:val="20"/>
        </w:rPr>
        <w:t>investors from the fund’s predecessor have committed to the second fund</w:t>
      </w:r>
      <w:r w:rsidRPr="00D13EC8">
        <w:rPr>
          <w:rFonts w:ascii="Verdana" w:eastAsia="Times New Roman" w:hAnsi="Verdana" w:cs="Times New Roman"/>
          <w:bCs/>
          <w:sz w:val="20"/>
          <w:szCs w:val="20"/>
        </w:rPr>
        <w:t xml:space="preserve"> </w:t>
      </w:r>
    </w:p>
    <w:p w14:paraId="2D48B1F2" w14:textId="3A4871C8" w:rsidR="00C30862" w:rsidRPr="00D95EF6" w:rsidRDefault="00EC60D3" w:rsidP="00AC6D55">
      <w:pPr>
        <w:spacing w:after="0" w:line="360" w:lineRule="auto"/>
        <w:jc w:val="both"/>
        <w:rPr>
          <w:rFonts w:ascii="Verdana" w:eastAsia="Times New Roman" w:hAnsi="Verdana" w:cs="InvescoInterstate-Light"/>
          <w:bCs/>
          <w:color w:val="000000"/>
          <w:sz w:val="20"/>
          <w:szCs w:val="20"/>
          <w:lang w:eastAsia="en-GB"/>
        </w:rPr>
      </w:pPr>
      <w:r w:rsidRPr="000D4422">
        <w:rPr>
          <w:rFonts w:ascii="Verdana" w:eastAsia="Times New Roman" w:hAnsi="Verdana" w:cs="InvescoInterstate-Light"/>
          <w:bCs/>
          <w:color w:val="000000"/>
          <w:sz w:val="20"/>
          <w:szCs w:val="20"/>
          <w:lang w:eastAsia="en-GB"/>
        </w:rPr>
        <w:t>Inv</w:t>
      </w:r>
      <w:r w:rsidRPr="00D95EF6">
        <w:rPr>
          <w:rFonts w:ascii="Verdana" w:eastAsia="Times New Roman" w:hAnsi="Verdana" w:cs="InvescoInterstate-Light"/>
          <w:bCs/>
          <w:color w:val="000000"/>
          <w:sz w:val="20"/>
          <w:szCs w:val="20"/>
          <w:lang w:eastAsia="en-GB"/>
        </w:rPr>
        <w:t>esco Real Estate (</w:t>
      </w:r>
      <w:r w:rsidR="00F34239" w:rsidRPr="00D95EF6">
        <w:rPr>
          <w:rFonts w:ascii="Verdana" w:eastAsia="Times New Roman" w:hAnsi="Verdana" w:cs="InvescoInterstate-Light"/>
          <w:bCs/>
          <w:color w:val="000000"/>
          <w:sz w:val="20"/>
          <w:szCs w:val="20"/>
          <w:lang w:eastAsia="en-GB"/>
        </w:rPr>
        <w:t>I</w:t>
      </w:r>
      <w:r w:rsidR="00145EEA">
        <w:rPr>
          <w:rFonts w:ascii="Verdana" w:eastAsia="Times New Roman" w:hAnsi="Verdana" w:cs="InvescoInterstate-Light"/>
          <w:bCs/>
          <w:color w:val="000000"/>
          <w:sz w:val="20"/>
          <w:szCs w:val="20"/>
          <w:lang w:eastAsia="en-GB"/>
        </w:rPr>
        <w:t>nvesco</w:t>
      </w:r>
      <w:r w:rsidRPr="00D95EF6">
        <w:rPr>
          <w:rFonts w:ascii="Verdana" w:eastAsia="Times New Roman" w:hAnsi="Verdana" w:cs="InvescoInterstate-Light"/>
          <w:bCs/>
          <w:color w:val="000000"/>
          <w:sz w:val="20"/>
          <w:szCs w:val="20"/>
          <w:lang w:eastAsia="en-GB"/>
        </w:rPr>
        <w:t xml:space="preserve">), the global real estate investment manager, </w:t>
      </w:r>
      <w:r w:rsidR="00B362D1" w:rsidRPr="00D95EF6">
        <w:rPr>
          <w:rFonts w:ascii="Verdana" w:eastAsia="Times New Roman" w:hAnsi="Verdana" w:cs="InvescoInterstate-Light"/>
          <w:bCs/>
          <w:color w:val="000000"/>
          <w:sz w:val="20"/>
          <w:szCs w:val="20"/>
          <w:lang w:eastAsia="en-GB"/>
        </w:rPr>
        <w:t xml:space="preserve">is pleased to announce </w:t>
      </w:r>
      <w:r w:rsidR="00C30862" w:rsidRPr="00D95EF6">
        <w:rPr>
          <w:rFonts w:ascii="Verdana" w:eastAsia="Times New Roman" w:hAnsi="Verdana" w:cs="InvescoInterstate-Light"/>
          <w:bCs/>
          <w:color w:val="000000"/>
          <w:sz w:val="20"/>
          <w:szCs w:val="20"/>
          <w:lang w:eastAsia="en-GB"/>
        </w:rPr>
        <w:t>the third close for its European Value-Add Fund II (EVAF II). To date, the firm has raised €550</w:t>
      </w:r>
      <w:r w:rsidR="000D4422">
        <w:rPr>
          <w:rFonts w:ascii="Verdana" w:eastAsia="Times New Roman" w:hAnsi="Verdana" w:cs="InvescoInterstate-Light"/>
          <w:bCs/>
          <w:color w:val="000000"/>
          <w:sz w:val="20"/>
          <w:szCs w:val="20"/>
          <w:lang w:eastAsia="en-GB"/>
        </w:rPr>
        <w:t xml:space="preserve"> </w:t>
      </w:r>
      <w:r w:rsidR="00C30862" w:rsidRPr="00D95EF6">
        <w:rPr>
          <w:rFonts w:ascii="Verdana" w:eastAsia="Times New Roman" w:hAnsi="Verdana" w:cs="InvescoInterstate-Light"/>
          <w:bCs/>
          <w:color w:val="000000"/>
          <w:sz w:val="20"/>
          <w:szCs w:val="20"/>
          <w:lang w:eastAsia="en-GB"/>
        </w:rPr>
        <w:t>m</w:t>
      </w:r>
      <w:r w:rsidR="000D4422">
        <w:rPr>
          <w:rFonts w:ascii="Verdana" w:eastAsia="Times New Roman" w:hAnsi="Verdana" w:cs="InvescoInterstate-Light"/>
          <w:bCs/>
          <w:color w:val="000000"/>
          <w:sz w:val="20"/>
          <w:szCs w:val="20"/>
          <w:lang w:eastAsia="en-GB"/>
        </w:rPr>
        <w:t>illion</w:t>
      </w:r>
      <w:r w:rsidR="00C30862" w:rsidRPr="00D95EF6">
        <w:rPr>
          <w:rFonts w:ascii="Verdana" w:eastAsia="Times New Roman" w:hAnsi="Verdana" w:cs="InvescoInterstate-Light"/>
          <w:bCs/>
          <w:color w:val="000000"/>
          <w:sz w:val="20"/>
          <w:szCs w:val="20"/>
          <w:lang w:eastAsia="en-GB"/>
        </w:rPr>
        <w:t xml:space="preserve"> of its</w:t>
      </w:r>
      <w:r w:rsidR="00AC6D55" w:rsidRPr="00D95EF6">
        <w:rPr>
          <w:rFonts w:ascii="Verdana" w:eastAsia="Times New Roman" w:hAnsi="Verdana" w:cs="InvescoInterstate-Light"/>
          <w:bCs/>
          <w:color w:val="000000"/>
          <w:sz w:val="20"/>
          <w:szCs w:val="20"/>
          <w:lang w:eastAsia="en-GB"/>
        </w:rPr>
        <w:t xml:space="preserve"> </w:t>
      </w:r>
      <w:r w:rsidR="00C30862" w:rsidRPr="00D95EF6">
        <w:rPr>
          <w:rFonts w:ascii="Verdana" w:eastAsia="Times New Roman" w:hAnsi="Verdana" w:cs="InvescoInterstate-Light"/>
          <w:bCs/>
          <w:color w:val="000000"/>
          <w:sz w:val="20"/>
          <w:szCs w:val="20"/>
          <w:lang w:eastAsia="en-GB"/>
        </w:rPr>
        <w:t>€750</w:t>
      </w:r>
      <w:r w:rsidR="000D4422">
        <w:rPr>
          <w:rFonts w:ascii="Verdana" w:eastAsia="Times New Roman" w:hAnsi="Verdana" w:cs="InvescoInterstate-Light"/>
          <w:bCs/>
          <w:color w:val="000000"/>
          <w:sz w:val="20"/>
          <w:szCs w:val="20"/>
          <w:lang w:eastAsia="en-GB"/>
        </w:rPr>
        <w:t xml:space="preserve"> </w:t>
      </w:r>
      <w:r w:rsidR="00C30862" w:rsidRPr="00D95EF6">
        <w:rPr>
          <w:rFonts w:ascii="Verdana" w:eastAsia="Times New Roman" w:hAnsi="Verdana" w:cs="InvescoInterstate-Light"/>
          <w:bCs/>
          <w:color w:val="000000"/>
          <w:sz w:val="20"/>
          <w:szCs w:val="20"/>
          <w:lang w:eastAsia="en-GB"/>
        </w:rPr>
        <w:t>m</w:t>
      </w:r>
      <w:r w:rsidR="000D4422">
        <w:rPr>
          <w:rFonts w:ascii="Verdana" w:eastAsia="Times New Roman" w:hAnsi="Verdana" w:cs="InvescoInterstate-Light"/>
          <w:bCs/>
          <w:color w:val="000000"/>
          <w:sz w:val="20"/>
          <w:szCs w:val="20"/>
          <w:lang w:eastAsia="en-GB"/>
        </w:rPr>
        <w:t>illion</w:t>
      </w:r>
      <w:r w:rsidR="00C30862" w:rsidRPr="00D95EF6">
        <w:rPr>
          <w:rFonts w:ascii="Verdana" w:eastAsia="Times New Roman" w:hAnsi="Verdana" w:cs="InvescoInterstate-Light"/>
          <w:bCs/>
          <w:color w:val="000000"/>
          <w:sz w:val="20"/>
          <w:szCs w:val="20"/>
          <w:lang w:eastAsia="en-GB"/>
        </w:rPr>
        <w:t xml:space="preserve"> </w:t>
      </w:r>
      <w:r w:rsidR="00F34239" w:rsidRPr="00D95EF6">
        <w:rPr>
          <w:rFonts w:ascii="Verdana" w:eastAsia="Times New Roman" w:hAnsi="Verdana" w:cs="InvescoInterstate-Light"/>
          <w:bCs/>
          <w:color w:val="000000"/>
          <w:sz w:val="20"/>
          <w:szCs w:val="20"/>
          <w:lang w:eastAsia="en-GB"/>
        </w:rPr>
        <w:t xml:space="preserve">target </w:t>
      </w:r>
      <w:r w:rsidR="00C30862" w:rsidRPr="00D95EF6">
        <w:rPr>
          <w:rFonts w:ascii="Verdana" w:eastAsia="Times New Roman" w:hAnsi="Verdana" w:cs="InvescoInterstate-Light"/>
          <w:bCs/>
          <w:color w:val="000000"/>
          <w:sz w:val="20"/>
          <w:szCs w:val="20"/>
          <w:lang w:eastAsia="en-GB"/>
        </w:rPr>
        <w:t xml:space="preserve">from 18 </w:t>
      </w:r>
      <w:r w:rsidR="00F34239" w:rsidRPr="00D95EF6">
        <w:rPr>
          <w:rFonts w:ascii="Verdana" w:eastAsia="Times New Roman" w:hAnsi="Verdana" w:cs="InvescoInterstate-Light"/>
          <w:bCs/>
          <w:color w:val="000000"/>
          <w:sz w:val="20"/>
          <w:szCs w:val="20"/>
          <w:lang w:eastAsia="en-GB"/>
        </w:rPr>
        <w:t>European</w:t>
      </w:r>
      <w:r w:rsidR="006B42AD">
        <w:rPr>
          <w:rFonts w:ascii="Verdana" w:eastAsia="Times New Roman" w:hAnsi="Verdana" w:cs="InvescoInterstate-Light"/>
          <w:bCs/>
          <w:color w:val="000000"/>
          <w:sz w:val="20"/>
          <w:szCs w:val="20"/>
          <w:lang w:eastAsia="en-GB"/>
        </w:rPr>
        <w:t>, UK</w:t>
      </w:r>
      <w:r w:rsidR="00F34239" w:rsidRPr="00D95EF6">
        <w:rPr>
          <w:rFonts w:ascii="Verdana" w:eastAsia="Times New Roman" w:hAnsi="Verdana" w:cs="InvescoInterstate-Light"/>
          <w:bCs/>
          <w:color w:val="000000"/>
          <w:sz w:val="20"/>
          <w:szCs w:val="20"/>
          <w:lang w:eastAsia="en-GB"/>
        </w:rPr>
        <w:t xml:space="preserve"> and US </w:t>
      </w:r>
      <w:r w:rsidR="00C30862" w:rsidRPr="00D95EF6">
        <w:rPr>
          <w:rFonts w:ascii="Verdana" w:eastAsia="Times New Roman" w:hAnsi="Verdana" w:cs="InvescoInterstate-Light"/>
          <w:bCs/>
          <w:color w:val="000000"/>
          <w:sz w:val="20"/>
          <w:szCs w:val="20"/>
          <w:lang w:eastAsia="en-GB"/>
        </w:rPr>
        <w:t xml:space="preserve">investors. </w:t>
      </w:r>
      <w:r w:rsidR="000D4422">
        <w:rPr>
          <w:rFonts w:ascii="Verdana" w:eastAsia="Times New Roman" w:hAnsi="Verdana" w:cs="InvescoInterstate-Light"/>
          <w:bCs/>
          <w:color w:val="000000"/>
          <w:sz w:val="20"/>
          <w:szCs w:val="20"/>
          <w:lang w:eastAsia="en-GB"/>
        </w:rPr>
        <w:t xml:space="preserve"> </w:t>
      </w:r>
      <w:r w:rsidR="00F34239" w:rsidRPr="00D95EF6">
        <w:rPr>
          <w:rFonts w:ascii="Verdana" w:eastAsia="Times New Roman" w:hAnsi="Verdana" w:cs="InvescoInterstate-Light"/>
          <w:bCs/>
          <w:color w:val="000000"/>
          <w:sz w:val="20"/>
          <w:szCs w:val="20"/>
          <w:lang w:eastAsia="en-GB"/>
        </w:rPr>
        <w:t>With leverage, Invesco expects to have</w:t>
      </w:r>
      <w:r w:rsidR="00695481">
        <w:rPr>
          <w:rFonts w:ascii="Verdana" w:eastAsia="Times New Roman" w:hAnsi="Verdana" w:cs="InvescoInterstate-Light"/>
          <w:bCs/>
          <w:color w:val="000000"/>
          <w:sz w:val="20"/>
          <w:szCs w:val="20"/>
          <w:lang w:eastAsia="en-GB"/>
        </w:rPr>
        <w:t xml:space="preserve"> up to €1.9 billion</w:t>
      </w:r>
      <w:r w:rsidR="00F34239" w:rsidRPr="00D95EF6">
        <w:rPr>
          <w:rFonts w:ascii="Verdana" w:eastAsia="Times New Roman" w:hAnsi="Verdana" w:cs="InvescoInterstate-Light"/>
          <w:bCs/>
          <w:color w:val="000000"/>
          <w:sz w:val="20"/>
          <w:szCs w:val="20"/>
          <w:lang w:eastAsia="en-GB"/>
        </w:rPr>
        <w:t xml:space="preserve"> to invest into its </w:t>
      </w:r>
      <w:r w:rsidR="00C57254">
        <w:rPr>
          <w:rFonts w:ascii="Verdana" w:eastAsia="Times New Roman" w:hAnsi="Verdana" w:cs="InvescoInterstate-Light"/>
          <w:bCs/>
          <w:color w:val="000000"/>
          <w:sz w:val="20"/>
          <w:szCs w:val="20"/>
          <w:lang w:eastAsia="en-GB"/>
        </w:rPr>
        <w:t xml:space="preserve">pan-European </w:t>
      </w:r>
      <w:r w:rsidR="00D31446">
        <w:rPr>
          <w:rFonts w:ascii="Verdana" w:eastAsia="Times New Roman" w:hAnsi="Verdana" w:cs="InvescoInterstate-Light"/>
          <w:bCs/>
          <w:color w:val="000000"/>
          <w:sz w:val="20"/>
          <w:szCs w:val="20"/>
          <w:lang w:eastAsia="en-GB"/>
        </w:rPr>
        <w:t>v</w:t>
      </w:r>
      <w:r w:rsidR="00F34239" w:rsidRPr="00D95EF6">
        <w:rPr>
          <w:rFonts w:ascii="Verdana" w:eastAsia="Times New Roman" w:hAnsi="Verdana" w:cs="InvescoInterstate-Light"/>
          <w:bCs/>
          <w:color w:val="000000"/>
          <w:sz w:val="20"/>
          <w:szCs w:val="20"/>
          <w:lang w:eastAsia="en-GB"/>
        </w:rPr>
        <w:t>alue-add programme.</w:t>
      </w:r>
    </w:p>
    <w:p w14:paraId="64A76E86" w14:textId="77777777" w:rsidR="00AC6D55" w:rsidRPr="00D95EF6" w:rsidRDefault="00AC6D55" w:rsidP="00AC6D55">
      <w:pPr>
        <w:spacing w:after="0" w:line="360" w:lineRule="auto"/>
        <w:jc w:val="both"/>
        <w:rPr>
          <w:rFonts w:ascii="Verdana" w:eastAsia="Times New Roman" w:hAnsi="Verdana" w:cs="InvescoInterstate-Light"/>
          <w:bCs/>
          <w:color w:val="000000"/>
          <w:sz w:val="20"/>
          <w:szCs w:val="20"/>
          <w:lang w:eastAsia="en-GB"/>
        </w:rPr>
      </w:pPr>
    </w:p>
    <w:p w14:paraId="5ABED433" w14:textId="0841D4B6" w:rsidR="00C30862" w:rsidRPr="00D95EF6" w:rsidRDefault="00C30862" w:rsidP="00F34239">
      <w:pPr>
        <w:spacing w:after="0" w:line="360" w:lineRule="auto"/>
        <w:jc w:val="both"/>
        <w:rPr>
          <w:rFonts w:ascii="Verdana" w:eastAsia="Times New Roman" w:hAnsi="Verdana" w:cs="InvescoInterstate-Light"/>
          <w:bCs/>
          <w:color w:val="000000"/>
          <w:sz w:val="20"/>
          <w:szCs w:val="20"/>
          <w:lang w:eastAsia="en-GB"/>
        </w:rPr>
      </w:pPr>
      <w:r w:rsidRPr="00D95EF6">
        <w:rPr>
          <w:rFonts w:ascii="Verdana" w:eastAsia="Times New Roman" w:hAnsi="Verdana" w:cs="InvescoInterstate-Light"/>
          <w:bCs/>
          <w:color w:val="000000"/>
          <w:sz w:val="20"/>
          <w:szCs w:val="20"/>
          <w:lang w:eastAsia="en-GB"/>
        </w:rPr>
        <w:t xml:space="preserve">EVAF II’s strategy </w:t>
      </w:r>
      <w:r w:rsidR="00AC6D55" w:rsidRPr="00D95EF6">
        <w:rPr>
          <w:rFonts w:ascii="Verdana" w:eastAsia="Times New Roman" w:hAnsi="Verdana" w:cs="InvescoInterstate-Light"/>
          <w:bCs/>
          <w:color w:val="000000"/>
          <w:sz w:val="20"/>
          <w:szCs w:val="20"/>
          <w:lang w:eastAsia="en-GB"/>
        </w:rPr>
        <w:t>is</w:t>
      </w:r>
      <w:r w:rsidRPr="00D95EF6">
        <w:rPr>
          <w:rFonts w:ascii="Verdana" w:eastAsia="Times New Roman" w:hAnsi="Verdana" w:cs="InvescoInterstate-Light"/>
          <w:bCs/>
          <w:color w:val="000000"/>
          <w:sz w:val="20"/>
          <w:szCs w:val="20"/>
          <w:lang w:eastAsia="en-GB"/>
        </w:rPr>
        <w:t xml:space="preserve"> largely a continuation of that implemented in </w:t>
      </w:r>
      <w:r w:rsidR="00AC6D55" w:rsidRPr="00D95EF6">
        <w:rPr>
          <w:rFonts w:ascii="Verdana" w:eastAsia="Times New Roman" w:hAnsi="Verdana" w:cs="InvescoInterstate-Light"/>
          <w:bCs/>
          <w:color w:val="000000"/>
          <w:sz w:val="20"/>
          <w:szCs w:val="20"/>
          <w:lang w:eastAsia="en-GB"/>
        </w:rPr>
        <w:t>the</w:t>
      </w:r>
      <w:r w:rsidRPr="00D95EF6">
        <w:rPr>
          <w:rFonts w:ascii="Verdana" w:eastAsia="Times New Roman" w:hAnsi="Verdana" w:cs="InvescoInterstate-Light"/>
          <w:bCs/>
          <w:color w:val="000000"/>
          <w:sz w:val="20"/>
          <w:szCs w:val="20"/>
          <w:lang w:eastAsia="en-GB"/>
        </w:rPr>
        <w:t xml:space="preserve"> first</w:t>
      </w:r>
      <w:r w:rsidR="00F34239" w:rsidRPr="00D95EF6">
        <w:rPr>
          <w:rFonts w:ascii="Verdana" w:eastAsia="Times New Roman" w:hAnsi="Verdana" w:cs="InvescoInterstate-Light"/>
          <w:bCs/>
          <w:color w:val="000000"/>
          <w:sz w:val="20"/>
          <w:szCs w:val="20"/>
          <w:lang w:eastAsia="en-GB"/>
        </w:rPr>
        <w:t xml:space="preserve"> fund</w:t>
      </w:r>
      <w:r w:rsidRPr="00D95EF6">
        <w:rPr>
          <w:rFonts w:ascii="Verdana" w:eastAsia="Times New Roman" w:hAnsi="Verdana" w:cs="InvescoInterstate-Light"/>
          <w:bCs/>
          <w:color w:val="000000"/>
          <w:sz w:val="20"/>
          <w:szCs w:val="20"/>
          <w:lang w:eastAsia="en-GB"/>
        </w:rPr>
        <w:t xml:space="preserve"> </w:t>
      </w:r>
      <w:r w:rsidR="00F34239" w:rsidRPr="00D95EF6">
        <w:rPr>
          <w:rFonts w:ascii="Verdana" w:eastAsia="Times New Roman" w:hAnsi="Verdana" w:cs="InvescoInterstate-Light"/>
          <w:bCs/>
          <w:color w:val="000000"/>
          <w:sz w:val="20"/>
          <w:szCs w:val="20"/>
          <w:lang w:eastAsia="en-GB"/>
        </w:rPr>
        <w:t>in</w:t>
      </w:r>
      <w:r w:rsidR="00AC6D55" w:rsidRPr="00D95EF6">
        <w:rPr>
          <w:rFonts w:ascii="Verdana" w:eastAsia="Times New Roman" w:hAnsi="Verdana" w:cs="InvescoInterstate-Light"/>
          <w:bCs/>
          <w:color w:val="000000"/>
          <w:sz w:val="20"/>
          <w:szCs w:val="20"/>
          <w:lang w:eastAsia="en-GB"/>
        </w:rPr>
        <w:t xml:space="preserve"> the </w:t>
      </w:r>
      <w:r w:rsidRPr="00D95EF6">
        <w:rPr>
          <w:rFonts w:ascii="Verdana" w:eastAsia="Times New Roman" w:hAnsi="Verdana" w:cs="InvescoInterstate-Light"/>
          <w:bCs/>
          <w:color w:val="000000"/>
          <w:sz w:val="20"/>
          <w:szCs w:val="20"/>
          <w:lang w:eastAsia="en-GB"/>
        </w:rPr>
        <w:t>series, focus</w:t>
      </w:r>
      <w:r w:rsidR="00AC6D55" w:rsidRPr="00D95EF6">
        <w:rPr>
          <w:rFonts w:ascii="Verdana" w:eastAsia="Times New Roman" w:hAnsi="Verdana" w:cs="InvescoInterstate-Light"/>
          <w:bCs/>
          <w:color w:val="000000"/>
          <w:sz w:val="20"/>
          <w:szCs w:val="20"/>
          <w:lang w:eastAsia="en-GB"/>
        </w:rPr>
        <w:t>ing</w:t>
      </w:r>
      <w:r w:rsidRPr="00D95EF6">
        <w:rPr>
          <w:rFonts w:ascii="Verdana" w:eastAsia="Times New Roman" w:hAnsi="Verdana" w:cs="InvescoInterstate-Light"/>
          <w:bCs/>
          <w:color w:val="000000"/>
          <w:sz w:val="20"/>
          <w:szCs w:val="20"/>
          <w:lang w:eastAsia="en-GB"/>
        </w:rPr>
        <w:t xml:space="preserve"> on Europe’s most liquid markets where </w:t>
      </w:r>
      <w:r w:rsidR="00F34239" w:rsidRPr="00D95EF6">
        <w:rPr>
          <w:rFonts w:ascii="Verdana" w:eastAsia="Times New Roman" w:hAnsi="Verdana" w:cs="InvescoInterstate-Light"/>
          <w:bCs/>
          <w:color w:val="000000"/>
          <w:sz w:val="20"/>
          <w:szCs w:val="20"/>
          <w:lang w:eastAsia="en-GB"/>
        </w:rPr>
        <w:t>I</w:t>
      </w:r>
      <w:r w:rsidR="00145EEA">
        <w:rPr>
          <w:rFonts w:ascii="Verdana" w:eastAsia="Times New Roman" w:hAnsi="Verdana" w:cs="InvescoInterstate-Light"/>
          <w:bCs/>
          <w:color w:val="000000"/>
          <w:sz w:val="20"/>
          <w:szCs w:val="20"/>
          <w:lang w:eastAsia="en-GB"/>
        </w:rPr>
        <w:t>nvesco</w:t>
      </w:r>
      <w:r w:rsidR="00F34239" w:rsidRPr="00D95EF6">
        <w:rPr>
          <w:rFonts w:ascii="Verdana" w:eastAsia="Times New Roman" w:hAnsi="Verdana" w:cs="InvescoInterstate-Light"/>
          <w:bCs/>
          <w:color w:val="000000"/>
          <w:sz w:val="20"/>
          <w:szCs w:val="20"/>
          <w:lang w:eastAsia="en-GB"/>
        </w:rPr>
        <w:t xml:space="preserve">’s value-add </w:t>
      </w:r>
      <w:r w:rsidRPr="00D95EF6">
        <w:rPr>
          <w:rFonts w:ascii="Verdana" w:eastAsia="Times New Roman" w:hAnsi="Verdana" w:cs="InvescoInterstate-Light"/>
          <w:bCs/>
          <w:color w:val="000000"/>
          <w:sz w:val="20"/>
          <w:szCs w:val="20"/>
          <w:lang w:eastAsia="en-GB"/>
        </w:rPr>
        <w:t>team employ</w:t>
      </w:r>
      <w:r w:rsidR="001E53AB">
        <w:rPr>
          <w:rFonts w:ascii="Verdana" w:eastAsia="Times New Roman" w:hAnsi="Verdana" w:cs="InvescoInterstate-Light"/>
          <w:bCs/>
          <w:color w:val="000000"/>
          <w:sz w:val="20"/>
          <w:szCs w:val="20"/>
          <w:lang w:eastAsia="en-GB"/>
        </w:rPr>
        <w:t>s</w:t>
      </w:r>
      <w:r w:rsidRPr="00D95EF6">
        <w:rPr>
          <w:rFonts w:ascii="Verdana" w:eastAsia="Times New Roman" w:hAnsi="Verdana" w:cs="InvescoInterstate-Light"/>
          <w:bCs/>
          <w:color w:val="000000"/>
          <w:sz w:val="20"/>
          <w:szCs w:val="20"/>
          <w:lang w:eastAsia="en-GB"/>
        </w:rPr>
        <w:t xml:space="preserve"> active asset management across sectors to deliver properties for exit into the core market.  </w:t>
      </w:r>
      <w:r w:rsidR="00BF1256">
        <w:rPr>
          <w:rFonts w:ascii="Verdana" w:eastAsia="Times New Roman" w:hAnsi="Verdana" w:cs="InvescoInterstate-Light"/>
          <w:bCs/>
          <w:color w:val="000000"/>
          <w:sz w:val="20"/>
          <w:szCs w:val="20"/>
          <w:lang w:eastAsia="en-GB"/>
        </w:rPr>
        <w:t xml:space="preserve">This strategy has resulted in </w:t>
      </w:r>
      <w:r w:rsidR="001E53AB">
        <w:rPr>
          <w:rFonts w:ascii="Verdana" w:eastAsia="Times New Roman" w:hAnsi="Verdana" w:cs="InvescoInterstate-Light"/>
          <w:bCs/>
          <w:color w:val="000000"/>
          <w:sz w:val="20"/>
          <w:szCs w:val="20"/>
          <w:lang w:eastAsia="en-GB"/>
        </w:rPr>
        <w:t xml:space="preserve">EVAF I </w:t>
      </w:r>
      <w:proofErr w:type="gramStart"/>
      <w:r w:rsidR="001E53AB">
        <w:rPr>
          <w:rFonts w:ascii="Verdana" w:eastAsia="Times New Roman" w:hAnsi="Verdana" w:cs="InvescoInterstate-Light"/>
          <w:bCs/>
          <w:color w:val="000000"/>
          <w:sz w:val="20"/>
          <w:szCs w:val="20"/>
          <w:lang w:eastAsia="en-GB"/>
        </w:rPr>
        <w:t>generat</w:t>
      </w:r>
      <w:r w:rsidR="00BF1256">
        <w:rPr>
          <w:rFonts w:ascii="Verdana" w:eastAsia="Times New Roman" w:hAnsi="Verdana" w:cs="InvescoInterstate-Light"/>
          <w:bCs/>
          <w:color w:val="000000"/>
          <w:sz w:val="20"/>
          <w:szCs w:val="20"/>
          <w:lang w:eastAsia="en-GB"/>
        </w:rPr>
        <w:t>ing</w:t>
      </w:r>
      <w:proofErr w:type="gramEnd"/>
      <w:r w:rsidR="001E53AB">
        <w:rPr>
          <w:rFonts w:ascii="Verdana" w:eastAsia="Times New Roman" w:hAnsi="Verdana" w:cs="InvescoInterstate-Light"/>
          <w:bCs/>
          <w:color w:val="000000"/>
          <w:sz w:val="20"/>
          <w:szCs w:val="20"/>
          <w:lang w:eastAsia="en-GB"/>
        </w:rPr>
        <w:t xml:space="preserve"> gross returns </w:t>
      </w:r>
      <w:r w:rsidR="00BF1256">
        <w:rPr>
          <w:rFonts w:ascii="Verdana" w:eastAsia="Times New Roman" w:hAnsi="Verdana" w:cs="InvescoInterstate-Light"/>
          <w:bCs/>
          <w:color w:val="000000"/>
          <w:sz w:val="20"/>
          <w:szCs w:val="20"/>
          <w:lang w:eastAsia="en-GB"/>
        </w:rPr>
        <w:t xml:space="preserve">since inception </w:t>
      </w:r>
      <w:r w:rsidR="001E53AB">
        <w:rPr>
          <w:rFonts w:ascii="Verdana" w:eastAsia="Times New Roman" w:hAnsi="Verdana" w:cs="InvescoInterstate-Light"/>
          <w:bCs/>
          <w:color w:val="000000"/>
          <w:sz w:val="20"/>
          <w:szCs w:val="20"/>
          <w:lang w:eastAsia="en-GB"/>
        </w:rPr>
        <w:t>of 22%.</w:t>
      </w:r>
      <w:r w:rsidR="001E53AB">
        <w:rPr>
          <w:rStyle w:val="Funotenzeichen"/>
          <w:rFonts w:ascii="Verdana" w:eastAsia="Times New Roman" w:hAnsi="Verdana" w:cs="InvescoInterstate-Light"/>
          <w:bCs/>
          <w:color w:val="000000"/>
          <w:sz w:val="20"/>
          <w:szCs w:val="20"/>
          <w:lang w:eastAsia="en-GB"/>
        </w:rPr>
        <w:footnoteReference w:id="1"/>
      </w:r>
      <w:r w:rsidR="001E53AB">
        <w:rPr>
          <w:rFonts w:ascii="Verdana" w:eastAsia="Times New Roman" w:hAnsi="Verdana" w:cs="InvescoInterstate-Light"/>
          <w:bCs/>
          <w:color w:val="000000"/>
          <w:sz w:val="20"/>
          <w:szCs w:val="20"/>
          <w:lang w:eastAsia="en-GB"/>
        </w:rPr>
        <w:t xml:space="preserve"> </w:t>
      </w:r>
    </w:p>
    <w:p w14:paraId="7FA1DB04" w14:textId="77777777" w:rsidR="00F34239" w:rsidRPr="00D95EF6" w:rsidRDefault="00F34239" w:rsidP="00F34239">
      <w:pPr>
        <w:spacing w:after="0" w:line="360" w:lineRule="auto"/>
        <w:jc w:val="both"/>
        <w:rPr>
          <w:rFonts w:ascii="Verdana" w:eastAsia="Times New Roman" w:hAnsi="Verdana" w:cs="InvescoInterstate-Light"/>
          <w:bCs/>
          <w:color w:val="000000"/>
          <w:sz w:val="20"/>
          <w:szCs w:val="20"/>
          <w:lang w:eastAsia="en-GB"/>
        </w:rPr>
      </w:pPr>
    </w:p>
    <w:p w14:paraId="58DF4CC8" w14:textId="389D3890" w:rsidR="00C30862" w:rsidRPr="00D95EF6" w:rsidRDefault="00C30862" w:rsidP="00F34239">
      <w:pPr>
        <w:spacing w:after="0" w:line="360" w:lineRule="auto"/>
        <w:jc w:val="both"/>
        <w:rPr>
          <w:rFonts w:ascii="Verdana" w:eastAsia="Times New Roman" w:hAnsi="Verdana" w:cs="InvescoInterstate-Light"/>
          <w:bCs/>
          <w:color w:val="000000"/>
          <w:sz w:val="20"/>
          <w:szCs w:val="20"/>
          <w:lang w:eastAsia="en-GB"/>
        </w:rPr>
      </w:pPr>
      <w:r w:rsidRPr="00D95EF6">
        <w:rPr>
          <w:rFonts w:ascii="Verdana" w:eastAsia="Times New Roman" w:hAnsi="Verdana" w:cs="InvescoInterstate-Light"/>
          <w:bCs/>
          <w:color w:val="000000"/>
          <w:sz w:val="20"/>
          <w:szCs w:val="20"/>
          <w:lang w:eastAsia="en-GB"/>
        </w:rPr>
        <w:t xml:space="preserve">With a portfolio to date of </w:t>
      </w:r>
      <w:r w:rsidR="007E74B3" w:rsidRPr="00D95EF6">
        <w:rPr>
          <w:rFonts w:ascii="Verdana" w:eastAsia="Times New Roman" w:hAnsi="Verdana" w:cs="InvescoInterstate-Light"/>
          <w:bCs/>
          <w:color w:val="000000"/>
          <w:sz w:val="20"/>
          <w:szCs w:val="20"/>
          <w:lang w:eastAsia="en-GB"/>
        </w:rPr>
        <w:t>four</w:t>
      </w:r>
      <w:r w:rsidRPr="00D95EF6">
        <w:rPr>
          <w:rFonts w:ascii="Verdana" w:eastAsia="Times New Roman" w:hAnsi="Verdana" w:cs="InvescoInterstate-Light"/>
          <w:bCs/>
          <w:color w:val="000000"/>
          <w:sz w:val="20"/>
          <w:szCs w:val="20"/>
          <w:lang w:eastAsia="en-GB"/>
        </w:rPr>
        <w:t xml:space="preserve"> investment</w:t>
      </w:r>
      <w:r w:rsidR="007E74B3" w:rsidRPr="00D95EF6">
        <w:rPr>
          <w:rFonts w:ascii="Verdana" w:eastAsia="Times New Roman" w:hAnsi="Verdana" w:cs="InvescoInterstate-Light"/>
          <w:bCs/>
          <w:color w:val="000000"/>
          <w:sz w:val="20"/>
          <w:szCs w:val="20"/>
          <w:lang w:eastAsia="en-GB"/>
        </w:rPr>
        <w:t>s</w:t>
      </w:r>
      <w:r w:rsidR="00F34239" w:rsidRPr="00D95EF6">
        <w:rPr>
          <w:rFonts w:ascii="Verdana" w:eastAsia="Times New Roman" w:hAnsi="Verdana" w:cs="InvescoInterstate-Light"/>
          <w:bCs/>
          <w:color w:val="000000"/>
          <w:sz w:val="20"/>
          <w:szCs w:val="20"/>
          <w:lang w:eastAsia="en-GB"/>
        </w:rPr>
        <w:t xml:space="preserve"> </w:t>
      </w:r>
      <w:r w:rsidR="00D31446">
        <w:rPr>
          <w:rFonts w:ascii="Verdana" w:eastAsia="Times New Roman" w:hAnsi="Verdana" w:cs="InvescoInterstate-Light"/>
          <w:bCs/>
          <w:color w:val="000000"/>
          <w:sz w:val="20"/>
          <w:szCs w:val="20"/>
          <w:lang w:eastAsia="en-GB"/>
        </w:rPr>
        <w:t>in</w:t>
      </w:r>
      <w:r w:rsidRPr="00D95EF6">
        <w:rPr>
          <w:rFonts w:ascii="Verdana" w:eastAsia="Times New Roman" w:hAnsi="Verdana" w:cs="InvescoInterstate-Light"/>
          <w:bCs/>
          <w:color w:val="000000"/>
          <w:sz w:val="20"/>
          <w:szCs w:val="20"/>
          <w:lang w:eastAsia="en-GB"/>
        </w:rPr>
        <w:t xml:space="preserve"> the logistics and residential sectors</w:t>
      </w:r>
      <w:r w:rsidR="007E74B3" w:rsidRPr="00D95EF6">
        <w:rPr>
          <w:rFonts w:ascii="Verdana" w:eastAsia="Times New Roman" w:hAnsi="Verdana" w:cs="InvescoInterstate-Light"/>
          <w:bCs/>
          <w:color w:val="000000"/>
          <w:sz w:val="20"/>
          <w:szCs w:val="20"/>
          <w:lang w:eastAsia="en-GB"/>
        </w:rPr>
        <w:t xml:space="preserve"> in Central Europe, Italy and Spain</w:t>
      </w:r>
      <w:r w:rsidRPr="00D95EF6">
        <w:rPr>
          <w:rFonts w:ascii="Verdana" w:eastAsia="Times New Roman" w:hAnsi="Verdana" w:cs="InvescoInterstate-Light"/>
          <w:bCs/>
          <w:color w:val="000000"/>
          <w:sz w:val="20"/>
          <w:szCs w:val="20"/>
          <w:lang w:eastAsia="en-GB"/>
        </w:rPr>
        <w:t>, the Fund intends to invest its remaining 82% of dry powder over the next three years into</w:t>
      </w:r>
      <w:r w:rsidR="009F131A">
        <w:rPr>
          <w:rFonts w:ascii="Verdana" w:eastAsia="Times New Roman" w:hAnsi="Verdana" w:cs="InvescoInterstate-Light"/>
          <w:bCs/>
          <w:color w:val="000000"/>
          <w:sz w:val="20"/>
          <w:szCs w:val="20"/>
          <w:lang w:eastAsia="en-GB"/>
        </w:rPr>
        <w:t xml:space="preserve"> </w:t>
      </w:r>
      <w:r w:rsidRPr="00D95EF6">
        <w:rPr>
          <w:rFonts w:ascii="Verdana" w:eastAsia="Times New Roman" w:hAnsi="Verdana" w:cs="InvescoInterstate-Light"/>
          <w:bCs/>
          <w:color w:val="000000"/>
          <w:sz w:val="20"/>
          <w:szCs w:val="20"/>
          <w:lang w:eastAsia="en-GB"/>
        </w:rPr>
        <w:t xml:space="preserve">opportunities </w:t>
      </w:r>
      <w:r w:rsidR="001E53AB">
        <w:rPr>
          <w:rFonts w:ascii="Verdana" w:eastAsia="Times New Roman" w:hAnsi="Verdana" w:cs="InvescoInterstate-Light"/>
          <w:bCs/>
          <w:color w:val="000000"/>
          <w:sz w:val="20"/>
          <w:szCs w:val="20"/>
          <w:lang w:eastAsia="en-GB"/>
        </w:rPr>
        <w:t>created by changing market conditions</w:t>
      </w:r>
      <w:r w:rsidR="00D45C36">
        <w:rPr>
          <w:rFonts w:ascii="Verdana" w:eastAsia="Times New Roman" w:hAnsi="Verdana" w:cs="InvescoInterstate-Light"/>
          <w:bCs/>
          <w:color w:val="000000"/>
          <w:sz w:val="20"/>
          <w:szCs w:val="20"/>
          <w:lang w:eastAsia="en-GB"/>
        </w:rPr>
        <w:t>, including the impact of COVID 19</w:t>
      </w:r>
      <w:r w:rsidRPr="00D95EF6">
        <w:rPr>
          <w:rFonts w:ascii="Verdana" w:eastAsia="Times New Roman" w:hAnsi="Verdana" w:cs="InvescoInterstate-Light"/>
          <w:bCs/>
          <w:color w:val="000000"/>
          <w:sz w:val="20"/>
          <w:szCs w:val="20"/>
          <w:lang w:eastAsia="en-GB"/>
        </w:rPr>
        <w:t>.</w:t>
      </w:r>
    </w:p>
    <w:p w14:paraId="3582F4CD" w14:textId="7BF61ACF" w:rsidR="007E74B3" w:rsidRPr="00D95EF6" w:rsidRDefault="007E74B3" w:rsidP="00F34239">
      <w:pPr>
        <w:spacing w:after="0" w:line="360" w:lineRule="auto"/>
        <w:jc w:val="both"/>
        <w:rPr>
          <w:rFonts w:ascii="Verdana" w:eastAsia="Times New Roman" w:hAnsi="Verdana" w:cs="InvescoInterstate-Light"/>
          <w:bCs/>
          <w:color w:val="000000"/>
          <w:sz w:val="20"/>
          <w:szCs w:val="20"/>
          <w:lang w:eastAsia="en-GB"/>
        </w:rPr>
      </w:pPr>
    </w:p>
    <w:p w14:paraId="2B6F7C33" w14:textId="028FC448" w:rsidR="007E74B3" w:rsidRPr="00D95EF6" w:rsidRDefault="007E74B3" w:rsidP="00F34239">
      <w:pPr>
        <w:spacing w:after="0" w:line="360" w:lineRule="auto"/>
        <w:jc w:val="both"/>
        <w:rPr>
          <w:rFonts w:ascii="Verdana" w:eastAsia="Times New Roman" w:hAnsi="Verdana" w:cs="InvescoInterstate-Light"/>
          <w:bCs/>
          <w:color w:val="000000"/>
          <w:sz w:val="20"/>
          <w:szCs w:val="20"/>
          <w:lang w:eastAsia="en-GB"/>
        </w:rPr>
      </w:pPr>
      <w:r w:rsidRPr="00D95EF6">
        <w:rPr>
          <w:rFonts w:ascii="Verdana" w:eastAsia="Times New Roman" w:hAnsi="Verdana" w:cs="InvescoInterstate-Light"/>
          <w:bCs/>
          <w:color w:val="000000"/>
          <w:sz w:val="20"/>
          <w:szCs w:val="20"/>
          <w:lang w:eastAsia="en-GB"/>
        </w:rPr>
        <w:t>Andrew Hills, Managing Director – Global Client Portfolio Management at Invesco commented: “</w:t>
      </w:r>
      <w:r w:rsidR="00D95EF6">
        <w:rPr>
          <w:rFonts w:ascii="Verdana" w:eastAsia="Times New Roman" w:hAnsi="Verdana" w:cs="InvescoInterstate-Light"/>
          <w:bCs/>
          <w:color w:val="000000"/>
          <w:sz w:val="20"/>
          <w:szCs w:val="20"/>
          <w:lang w:eastAsia="en-GB"/>
        </w:rPr>
        <w:t xml:space="preserve">To have 90% of our existing </w:t>
      </w:r>
      <w:r w:rsidR="00D277D7">
        <w:rPr>
          <w:rFonts w:ascii="Verdana" w:eastAsia="Times New Roman" w:hAnsi="Verdana" w:cs="InvescoInterstate-Light"/>
          <w:bCs/>
          <w:color w:val="000000"/>
          <w:sz w:val="20"/>
          <w:szCs w:val="20"/>
          <w:lang w:eastAsia="en-GB"/>
        </w:rPr>
        <w:t>clients</w:t>
      </w:r>
      <w:r w:rsidR="00D95EF6">
        <w:rPr>
          <w:rFonts w:ascii="Verdana" w:eastAsia="Times New Roman" w:hAnsi="Verdana" w:cs="InvescoInterstate-Light"/>
          <w:bCs/>
          <w:color w:val="000000"/>
          <w:sz w:val="20"/>
          <w:szCs w:val="20"/>
          <w:lang w:eastAsia="en-GB"/>
        </w:rPr>
        <w:t xml:space="preserve"> </w:t>
      </w:r>
      <w:r w:rsidR="003017B1">
        <w:rPr>
          <w:rFonts w:ascii="Verdana" w:eastAsia="Times New Roman" w:hAnsi="Verdana" w:cs="InvescoInterstate-Light"/>
          <w:bCs/>
          <w:color w:val="000000"/>
          <w:sz w:val="20"/>
          <w:szCs w:val="20"/>
          <w:lang w:eastAsia="en-GB"/>
        </w:rPr>
        <w:t>invest in</w:t>
      </w:r>
      <w:r w:rsidR="00D95EF6">
        <w:rPr>
          <w:rFonts w:ascii="Verdana" w:eastAsia="Times New Roman" w:hAnsi="Verdana" w:cs="InvescoInterstate-Light"/>
          <w:bCs/>
          <w:color w:val="000000"/>
          <w:sz w:val="20"/>
          <w:szCs w:val="20"/>
          <w:lang w:eastAsia="en-GB"/>
        </w:rPr>
        <w:t xml:space="preserve"> the second fund is testament to their confidence in our value-add team to deliver on what has been a successful programme</w:t>
      </w:r>
      <w:r w:rsidR="00FB2801">
        <w:rPr>
          <w:rFonts w:ascii="Verdana" w:eastAsia="Times New Roman" w:hAnsi="Verdana" w:cs="InvescoInterstate-Light"/>
          <w:bCs/>
          <w:color w:val="000000"/>
          <w:sz w:val="20"/>
          <w:szCs w:val="20"/>
          <w:lang w:eastAsia="en-GB"/>
        </w:rPr>
        <w:t xml:space="preserve"> to date</w:t>
      </w:r>
      <w:bookmarkStart w:id="0" w:name="_GoBack"/>
      <w:bookmarkEnd w:id="0"/>
      <w:r w:rsidR="00FB2801">
        <w:rPr>
          <w:rFonts w:ascii="Verdana" w:eastAsia="Times New Roman" w:hAnsi="Verdana" w:cs="InvescoInterstate-Light"/>
          <w:bCs/>
          <w:color w:val="000000"/>
          <w:sz w:val="20"/>
          <w:szCs w:val="20"/>
          <w:lang w:eastAsia="en-GB"/>
        </w:rPr>
        <w:t>.</w:t>
      </w:r>
      <w:r w:rsidR="00D277D7">
        <w:rPr>
          <w:rFonts w:ascii="Verdana" w:eastAsia="Times New Roman" w:hAnsi="Verdana" w:cs="InvescoInterstate-Light"/>
          <w:bCs/>
          <w:color w:val="000000"/>
          <w:sz w:val="20"/>
          <w:szCs w:val="20"/>
          <w:lang w:eastAsia="en-GB"/>
        </w:rPr>
        <w:t xml:space="preserve"> We’re excited to continue to build up our track record in this growing area.</w:t>
      </w:r>
      <w:r w:rsidR="00FB2801">
        <w:rPr>
          <w:rFonts w:ascii="Verdana" w:eastAsia="Times New Roman" w:hAnsi="Verdana" w:cs="InvescoInterstate-Light"/>
          <w:bCs/>
          <w:color w:val="000000"/>
          <w:sz w:val="20"/>
          <w:szCs w:val="20"/>
          <w:lang w:eastAsia="en-GB"/>
        </w:rPr>
        <w:t>”</w:t>
      </w:r>
      <w:r w:rsidR="00D95EF6">
        <w:rPr>
          <w:rFonts w:ascii="Verdana" w:eastAsia="Times New Roman" w:hAnsi="Verdana" w:cs="InvescoInterstate-Light"/>
          <w:bCs/>
          <w:color w:val="000000"/>
          <w:sz w:val="20"/>
          <w:szCs w:val="20"/>
          <w:lang w:eastAsia="en-GB"/>
        </w:rPr>
        <w:t xml:space="preserve">  </w:t>
      </w:r>
    </w:p>
    <w:p w14:paraId="22414E6C" w14:textId="77777777" w:rsidR="00DB4B4D" w:rsidRPr="00D95EF6" w:rsidRDefault="00DB4B4D" w:rsidP="007917E3">
      <w:pPr>
        <w:spacing w:after="0" w:line="360" w:lineRule="auto"/>
        <w:jc w:val="both"/>
        <w:rPr>
          <w:rFonts w:ascii="Verdana" w:eastAsia="Times New Roman" w:hAnsi="Verdana" w:cs="InvescoInterstate-Light"/>
          <w:bCs/>
          <w:color w:val="000000"/>
          <w:sz w:val="20"/>
          <w:szCs w:val="20"/>
          <w:lang w:eastAsia="en-GB"/>
        </w:rPr>
      </w:pPr>
    </w:p>
    <w:p w14:paraId="1F87699E" w14:textId="324C6A77" w:rsidR="006B42AD" w:rsidRDefault="00073DB2" w:rsidP="00344899">
      <w:pPr>
        <w:autoSpaceDE w:val="0"/>
        <w:autoSpaceDN w:val="0"/>
        <w:adjustRightInd w:val="0"/>
        <w:spacing w:after="0" w:line="360" w:lineRule="auto"/>
        <w:rPr>
          <w:rFonts w:ascii="Verdana" w:eastAsia="Times New Roman" w:hAnsi="Verdana" w:cs="InvescoInterstate-Light"/>
          <w:bCs/>
          <w:color w:val="000000"/>
          <w:sz w:val="20"/>
          <w:szCs w:val="20"/>
          <w:lang w:eastAsia="en-GB"/>
        </w:rPr>
      </w:pPr>
      <w:r w:rsidRPr="00D95EF6">
        <w:rPr>
          <w:rFonts w:ascii="Verdana" w:eastAsia="Times New Roman" w:hAnsi="Verdana" w:cs="InvescoInterstate-Light"/>
          <w:bCs/>
          <w:color w:val="000000"/>
          <w:sz w:val="20"/>
          <w:szCs w:val="20"/>
          <w:lang w:eastAsia="en-GB"/>
        </w:rPr>
        <w:t xml:space="preserve">Kevin Grundy, Managing Director – </w:t>
      </w:r>
      <w:r w:rsidR="00221D2F" w:rsidRPr="00D95EF6">
        <w:rPr>
          <w:rFonts w:ascii="Verdana" w:eastAsia="Times New Roman" w:hAnsi="Verdana" w:cs="InvescoInterstate-Light"/>
          <w:bCs/>
          <w:color w:val="000000"/>
          <w:sz w:val="20"/>
          <w:szCs w:val="20"/>
          <w:lang w:eastAsia="en-GB"/>
        </w:rPr>
        <w:t>Fund Management</w:t>
      </w:r>
      <w:r w:rsidRPr="00D95EF6">
        <w:rPr>
          <w:rFonts w:ascii="Verdana" w:eastAsia="Times New Roman" w:hAnsi="Verdana" w:cs="InvescoInterstate-Light"/>
          <w:bCs/>
          <w:color w:val="000000"/>
          <w:sz w:val="20"/>
          <w:szCs w:val="20"/>
          <w:lang w:eastAsia="en-GB"/>
        </w:rPr>
        <w:t xml:space="preserve"> at Invesco, comment</w:t>
      </w:r>
      <w:r w:rsidR="002A6511">
        <w:rPr>
          <w:rFonts w:ascii="Verdana" w:eastAsia="Times New Roman" w:hAnsi="Verdana" w:cs="InvescoInterstate-Light"/>
          <w:bCs/>
          <w:color w:val="000000"/>
          <w:sz w:val="20"/>
          <w:szCs w:val="20"/>
          <w:lang w:eastAsia="en-GB"/>
        </w:rPr>
        <w:t>ed</w:t>
      </w:r>
      <w:r w:rsidRPr="00D95EF6">
        <w:rPr>
          <w:rFonts w:ascii="Verdana" w:eastAsia="Times New Roman" w:hAnsi="Verdana" w:cs="InvescoInterstate-Light"/>
          <w:bCs/>
          <w:color w:val="000000"/>
          <w:sz w:val="20"/>
          <w:szCs w:val="20"/>
          <w:lang w:eastAsia="en-GB"/>
        </w:rPr>
        <w:t>: “</w:t>
      </w:r>
      <w:r w:rsidR="00221D2F" w:rsidRPr="00D95EF6">
        <w:rPr>
          <w:rFonts w:ascii="Verdana" w:eastAsia="Times New Roman" w:hAnsi="Verdana" w:cs="InvescoInterstate-Light"/>
          <w:bCs/>
          <w:color w:val="000000"/>
          <w:sz w:val="20"/>
          <w:szCs w:val="20"/>
          <w:lang w:eastAsia="en-GB"/>
        </w:rPr>
        <w:t>We</w:t>
      </w:r>
      <w:r w:rsidR="006B42AD">
        <w:rPr>
          <w:rFonts w:ascii="Verdana" w:eastAsia="Times New Roman" w:hAnsi="Verdana" w:cs="InvescoInterstate-Light"/>
          <w:bCs/>
          <w:color w:val="000000"/>
          <w:sz w:val="20"/>
          <w:szCs w:val="20"/>
          <w:lang w:eastAsia="en-GB"/>
        </w:rPr>
        <w:t>’re</w:t>
      </w:r>
      <w:r w:rsidR="00221D2F" w:rsidRPr="00D95EF6">
        <w:rPr>
          <w:rFonts w:ascii="Verdana" w:eastAsia="Times New Roman" w:hAnsi="Verdana" w:cs="InvescoInterstate-Light"/>
          <w:bCs/>
          <w:color w:val="000000"/>
          <w:sz w:val="20"/>
          <w:szCs w:val="20"/>
          <w:lang w:eastAsia="en-GB"/>
        </w:rPr>
        <w:t xml:space="preserve"> using the breadth of the </w:t>
      </w:r>
      <w:r w:rsidR="00D75F9B" w:rsidRPr="00D95EF6">
        <w:rPr>
          <w:rFonts w:ascii="Verdana" w:eastAsia="Times New Roman" w:hAnsi="Verdana" w:cs="InvescoInterstate-Light"/>
          <w:bCs/>
          <w:color w:val="000000"/>
          <w:sz w:val="20"/>
          <w:szCs w:val="20"/>
          <w:lang w:eastAsia="en-GB"/>
        </w:rPr>
        <w:t>Invesco</w:t>
      </w:r>
      <w:r w:rsidR="00221D2F" w:rsidRPr="00D95EF6">
        <w:rPr>
          <w:rFonts w:ascii="Verdana" w:eastAsia="Times New Roman" w:hAnsi="Verdana" w:cs="InvescoInterstate-Light"/>
          <w:bCs/>
          <w:color w:val="000000"/>
          <w:sz w:val="20"/>
          <w:szCs w:val="20"/>
          <w:lang w:eastAsia="en-GB"/>
        </w:rPr>
        <w:t xml:space="preserve"> platform across Europe to </w:t>
      </w:r>
      <w:r w:rsidR="006B42AD">
        <w:rPr>
          <w:rFonts w:ascii="Verdana" w:eastAsia="Times New Roman" w:hAnsi="Verdana" w:cs="InvescoInterstate-Light"/>
          <w:bCs/>
          <w:color w:val="000000"/>
          <w:sz w:val="20"/>
          <w:szCs w:val="20"/>
          <w:lang w:eastAsia="en-GB"/>
        </w:rPr>
        <w:t>identify</w:t>
      </w:r>
      <w:r w:rsidR="00695481">
        <w:rPr>
          <w:rFonts w:ascii="Verdana" w:eastAsia="Times New Roman" w:hAnsi="Verdana" w:cs="InvescoInterstate-Light"/>
          <w:bCs/>
          <w:color w:val="000000"/>
          <w:sz w:val="20"/>
          <w:szCs w:val="20"/>
          <w:lang w:eastAsia="en-GB"/>
        </w:rPr>
        <w:t xml:space="preserve"> opportunities</w:t>
      </w:r>
      <w:r w:rsidR="00221D2F" w:rsidRPr="00D95EF6">
        <w:rPr>
          <w:rFonts w:ascii="Verdana" w:eastAsia="Times New Roman" w:hAnsi="Verdana" w:cs="InvescoInterstate-Light"/>
          <w:bCs/>
          <w:color w:val="000000"/>
          <w:sz w:val="20"/>
          <w:szCs w:val="20"/>
          <w:lang w:eastAsia="en-GB"/>
        </w:rPr>
        <w:t xml:space="preserve"> </w:t>
      </w:r>
      <w:r w:rsidR="00224B3A">
        <w:rPr>
          <w:rFonts w:ascii="Verdana" w:eastAsia="Times New Roman" w:hAnsi="Verdana" w:cs="InvescoInterstate-Light"/>
          <w:bCs/>
          <w:color w:val="000000"/>
          <w:sz w:val="20"/>
          <w:szCs w:val="20"/>
          <w:lang w:eastAsia="en-GB"/>
        </w:rPr>
        <w:t xml:space="preserve">where we believe intensive asset management </w:t>
      </w:r>
      <w:r w:rsidR="002179F2">
        <w:rPr>
          <w:rFonts w:ascii="Verdana" w:eastAsia="Times New Roman" w:hAnsi="Verdana" w:cs="InvescoInterstate-Light"/>
          <w:bCs/>
          <w:color w:val="000000"/>
          <w:sz w:val="20"/>
          <w:szCs w:val="20"/>
          <w:lang w:eastAsia="en-GB"/>
        </w:rPr>
        <w:t xml:space="preserve">has the potential to </w:t>
      </w:r>
      <w:r w:rsidR="00224B3A">
        <w:rPr>
          <w:rFonts w:ascii="Verdana" w:eastAsia="Times New Roman" w:hAnsi="Verdana" w:cs="InvescoInterstate-Light"/>
          <w:bCs/>
          <w:color w:val="000000"/>
          <w:sz w:val="20"/>
          <w:szCs w:val="20"/>
          <w:lang w:eastAsia="en-GB"/>
        </w:rPr>
        <w:t>create superior returns</w:t>
      </w:r>
      <w:r w:rsidR="00F6718A" w:rsidRPr="00D95EF6">
        <w:rPr>
          <w:rFonts w:ascii="Verdana" w:eastAsia="Times New Roman" w:hAnsi="Verdana" w:cs="InvescoInterstate-Light"/>
          <w:bCs/>
          <w:color w:val="000000"/>
          <w:sz w:val="20"/>
          <w:szCs w:val="20"/>
          <w:lang w:eastAsia="en-GB"/>
        </w:rPr>
        <w:t>.</w:t>
      </w:r>
      <w:r w:rsidR="00D75F9B" w:rsidRPr="00D95EF6">
        <w:rPr>
          <w:rFonts w:ascii="Verdana" w:eastAsia="Times New Roman" w:hAnsi="Verdana" w:cs="InvescoInterstate-Light"/>
          <w:bCs/>
          <w:color w:val="000000"/>
          <w:sz w:val="20"/>
          <w:szCs w:val="20"/>
          <w:lang w:eastAsia="en-GB"/>
        </w:rPr>
        <w:t xml:space="preserve"> </w:t>
      </w:r>
      <w:r w:rsidR="006B42AD">
        <w:rPr>
          <w:rFonts w:ascii="Verdana" w:eastAsia="Times New Roman" w:hAnsi="Verdana" w:cs="InvescoInterstate-Light"/>
          <w:bCs/>
          <w:color w:val="000000"/>
          <w:sz w:val="20"/>
          <w:szCs w:val="20"/>
          <w:lang w:eastAsia="en-GB"/>
        </w:rPr>
        <w:t>COVID-19 is redefining</w:t>
      </w:r>
      <w:r w:rsidR="00E10B2B">
        <w:rPr>
          <w:rFonts w:ascii="Verdana" w:eastAsia="Times New Roman" w:hAnsi="Verdana" w:cs="InvescoInterstate-Light"/>
          <w:bCs/>
          <w:color w:val="000000"/>
          <w:sz w:val="20"/>
          <w:szCs w:val="20"/>
          <w:lang w:eastAsia="en-GB"/>
        </w:rPr>
        <w:t>, for instance,</w:t>
      </w:r>
      <w:r w:rsidR="006B42AD">
        <w:rPr>
          <w:rFonts w:ascii="Verdana" w:eastAsia="Times New Roman" w:hAnsi="Verdana" w:cs="InvescoInterstate-Light"/>
          <w:bCs/>
          <w:color w:val="000000"/>
          <w:sz w:val="20"/>
          <w:szCs w:val="20"/>
          <w:lang w:eastAsia="en-GB"/>
        </w:rPr>
        <w:t xml:space="preserve"> what investors and tenants wish to acquire and occupy, and the fund intends to position itself as one of the first to respond to those changes.”</w:t>
      </w:r>
    </w:p>
    <w:p w14:paraId="249C1602" w14:textId="77777777" w:rsidR="00073DB2" w:rsidRPr="00D95EF6" w:rsidRDefault="00073DB2" w:rsidP="007917E3">
      <w:pPr>
        <w:spacing w:after="0" w:line="360" w:lineRule="auto"/>
        <w:jc w:val="both"/>
        <w:rPr>
          <w:rFonts w:ascii="Verdana" w:eastAsia="Times New Roman" w:hAnsi="Verdana" w:cs="InvescoInterstate-Light"/>
          <w:bCs/>
          <w:color w:val="000000"/>
          <w:sz w:val="20"/>
          <w:szCs w:val="20"/>
          <w:lang w:eastAsia="en-GB"/>
        </w:rPr>
      </w:pPr>
    </w:p>
    <w:p w14:paraId="1F19DA76" w14:textId="626ED925" w:rsidR="007917E3" w:rsidRDefault="000D4422" w:rsidP="007917E3">
      <w:pPr>
        <w:spacing w:after="0" w:line="360" w:lineRule="auto"/>
        <w:jc w:val="both"/>
        <w:rPr>
          <w:rFonts w:ascii="Verdana" w:eastAsia="Times New Roman" w:hAnsi="Verdana" w:cs="InvescoInterstate-Light"/>
          <w:bCs/>
          <w:color w:val="000000"/>
          <w:sz w:val="20"/>
          <w:szCs w:val="20"/>
          <w:lang w:eastAsia="en-GB"/>
        </w:rPr>
      </w:pPr>
      <w:r w:rsidRPr="00D95EF6">
        <w:rPr>
          <w:rFonts w:ascii="Verdana" w:eastAsia="Times New Roman" w:hAnsi="Verdana" w:cs="InvescoInterstate-Light"/>
          <w:bCs/>
          <w:color w:val="000000"/>
          <w:sz w:val="20"/>
          <w:szCs w:val="20"/>
          <w:lang w:eastAsia="en-GB"/>
        </w:rPr>
        <w:t>The final close of EVAF</w:t>
      </w:r>
      <w:r>
        <w:rPr>
          <w:rFonts w:ascii="Verdana" w:eastAsia="Times New Roman" w:hAnsi="Verdana" w:cs="InvescoInterstate-Light"/>
          <w:bCs/>
          <w:color w:val="000000"/>
          <w:sz w:val="20"/>
          <w:szCs w:val="20"/>
          <w:lang w:eastAsia="en-GB"/>
        </w:rPr>
        <w:t xml:space="preserve"> </w:t>
      </w:r>
      <w:r w:rsidRPr="00D95EF6">
        <w:rPr>
          <w:rFonts w:ascii="Verdana" w:eastAsia="Times New Roman" w:hAnsi="Verdana" w:cs="InvescoInterstate-Light"/>
          <w:bCs/>
          <w:color w:val="000000"/>
          <w:sz w:val="20"/>
          <w:szCs w:val="20"/>
          <w:lang w:eastAsia="en-GB"/>
        </w:rPr>
        <w:t xml:space="preserve">II </w:t>
      </w:r>
      <w:r>
        <w:rPr>
          <w:rFonts w:ascii="Verdana" w:eastAsia="Times New Roman" w:hAnsi="Verdana" w:cs="InvescoInterstate-Light"/>
          <w:bCs/>
          <w:color w:val="000000"/>
          <w:sz w:val="20"/>
          <w:szCs w:val="20"/>
          <w:lang w:eastAsia="en-GB"/>
        </w:rPr>
        <w:t>will</w:t>
      </w:r>
      <w:r w:rsidRPr="00D95EF6">
        <w:rPr>
          <w:rFonts w:ascii="Verdana" w:eastAsia="Times New Roman" w:hAnsi="Verdana" w:cs="InvescoInterstate-Light"/>
          <w:bCs/>
          <w:color w:val="000000"/>
          <w:sz w:val="20"/>
          <w:szCs w:val="20"/>
          <w:lang w:eastAsia="en-GB"/>
        </w:rPr>
        <w:t xml:space="preserve"> be held in the summer. </w:t>
      </w:r>
    </w:p>
    <w:p w14:paraId="518D3C3A" w14:textId="77777777" w:rsidR="00DC6EF3" w:rsidRPr="00D95EF6" w:rsidRDefault="00DC6EF3" w:rsidP="007917E3">
      <w:pPr>
        <w:spacing w:after="0" w:line="360" w:lineRule="auto"/>
        <w:jc w:val="both"/>
        <w:rPr>
          <w:rFonts w:ascii="Verdana" w:eastAsia="Times New Roman" w:hAnsi="Verdana" w:cs="InvescoInterstate-Light"/>
          <w:bCs/>
          <w:color w:val="000000"/>
          <w:sz w:val="20"/>
          <w:szCs w:val="20"/>
          <w:lang w:eastAsia="en-GB"/>
        </w:rPr>
      </w:pPr>
    </w:p>
    <w:p w14:paraId="6B746575" w14:textId="7FB1C8BC" w:rsidR="001E03F5" w:rsidRDefault="00DC6EF3" w:rsidP="00DC6EF3">
      <w:pPr>
        <w:spacing w:after="0" w:line="360" w:lineRule="auto"/>
        <w:jc w:val="center"/>
        <w:rPr>
          <w:rFonts w:ascii="Verdana" w:eastAsia="Times New Roman" w:hAnsi="Verdana" w:cs="InvescoInterstate-Light"/>
          <w:bCs/>
          <w:color w:val="000000"/>
          <w:sz w:val="20"/>
          <w:szCs w:val="20"/>
          <w:lang w:eastAsia="en-GB"/>
        </w:rPr>
      </w:pPr>
      <w:r>
        <w:rPr>
          <w:rFonts w:ascii="Verdana" w:eastAsia="Times New Roman" w:hAnsi="Verdana" w:cs="InvescoInterstate-Light"/>
          <w:bCs/>
          <w:color w:val="000000"/>
          <w:sz w:val="20"/>
          <w:szCs w:val="20"/>
          <w:lang w:eastAsia="en-GB"/>
        </w:rPr>
        <w:t>--------------------------------</w:t>
      </w:r>
    </w:p>
    <w:p w14:paraId="1FDBA124" w14:textId="47C19747" w:rsidR="00E864A6" w:rsidRDefault="00E864A6" w:rsidP="00A84410">
      <w:pPr>
        <w:spacing w:after="0" w:line="360" w:lineRule="auto"/>
        <w:jc w:val="both"/>
        <w:rPr>
          <w:rFonts w:ascii="Verdana" w:eastAsia="Times New Roman" w:hAnsi="Verdana" w:cs="InvescoInterstate-Light"/>
          <w:bCs/>
          <w:color w:val="000000"/>
          <w:sz w:val="20"/>
          <w:szCs w:val="20"/>
          <w:lang w:eastAsia="en-GB"/>
        </w:rPr>
      </w:pPr>
    </w:p>
    <w:p w14:paraId="68D55748" w14:textId="7316BBF0" w:rsidR="00E864A6" w:rsidRPr="00CB3195" w:rsidRDefault="00E864A6" w:rsidP="00A84410">
      <w:pPr>
        <w:spacing w:after="0" w:line="360" w:lineRule="auto"/>
        <w:jc w:val="both"/>
        <w:rPr>
          <w:rFonts w:ascii="Verdana" w:eastAsia="Times New Roman" w:hAnsi="Verdana" w:cs="InvescoInterstate-Light"/>
          <w:b/>
          <w:color w:val="000000"/>
          <w:sz w:val="20"/>
          <w:szCs w:val="20"/>
          <w:lang w:eastAsia="en-GB"/>
        </w:rPr>
      </w:pPr>
      <w:r w:rsidRPr="00CB3195">
        <w:rPr>
          <w:rFonts w:ascii="Verdana" w:eastAsia="Times New Roman" w:hAnsi="Verdana" w:cs="InvescoInterstate-Light"/>
          <w:b/>
          <w:color w:val="000000"/>
          <w:sz w:val="20"/>
          <w:szCs w:val="20"/>
          <w:lang w:eastAsia="en-GB"/>
        </w:rPr>
        <w:t>Risk warnings</w:t>
      </w:r>
    </w:p>
    <w:p w14:paraId="4A34DFB9" w14:textId="71445D41" w:rsidR="00E864A6" w:rsidRDefault="00E864A6" w:rsidP="00A84410">
      <w:pPr>
        <w:spacing w:after="0" w:line="360" w:lineRule="auto"/>
        <w:jc w:val="both"/>
        <w:rPr>
          <w:rFonts w:ascii="Verdana" w:eastAsia="Times New Roman" w:hAnsi="Verdana" w:cs="InvescoInterstate-Light"/>
          <w:bCs/>
          <w:color w:val="000000"/>
          <w:sz w:val="20"/>
          <w:szCs w:val="20"/>
          <w:lang w:eastAsia="en-GB"/>
        </w:rPr>
      </w:pPr>
      <w:r w:rsidRPr="00E864A6">
        <w:rPr>
          <w:rFonts w:ascii="Verdana" w:eastAsia="Times New Roman" w:hAnsi="Verdana" w:cs="InvescoInterstate-Light"/>
          <w:bCs/>
          <w:color w:val="000000"/>
          <w:sz w:val="20"/>
          <w:szCs w:val="20"/>
          <w:lang w:eastAsia="en-GB"/>
        </w:rPr>
        <w:t>The value of investments and any income will fluctuate (this may partly be the result of exchange rate fluctuations) and investors may not get back the full amount invested.</w:t>
      </w:r>
      <w:r>
        <w:rPr>
          <w:rFonts w:ascii="Verdana" w:eastAsia="Times New Roman" w:hAnsi="Verdana" w:cs="InvescoInterstate-Light"/>
          <w:bCs/>
          <w:color w:val="000000"/>
          <w:sz w:val="20"/>
          <w:szCs w:val="20"/>
          <w:lang w:eastAsia="en-GB"/>
        </w:rPr>
        <w:t xml:space="preserve"> </w:t>
      </w:r>
      <w:r w:rsidRPr="00E864A6">
        <w:rPr>
          <w:rFonts w:ascii="Verdana" w:eastAsia="Times New Roman" w:hAnsi="Verdana" w:cs="InvescoInterstate-Light"/>
          <w:bCs/>
          <w:color w:val="000000"/>
          <w:sz w:val="20"/>
          <w:szCs w:val="20"/>
          <w:lang w:eastAsia="en-GB"/>
        </w:rPr>
        <w:t>Property and land can be difficult to sell, so investors may not be able to sell such investments when they want to.  The value of property is generally a matter of an independent valuer’s opinion and may not be realised.  Changes in interest rates, rental yields and general economic conditions may result in fluctuations in the value of the fund.</w:t>
      </w:r>
    </w:p>
    <w:p w14:paraId="31B14C0A" w14:textId="77777777" w:rsidR="00E864A6" w:rsidRPr="00D95EF6" w:rsidRDefault="00E864A6" w:rsidP="00A84410">
      <w:pPr>
        <w:spacing w:after="0" w:line="360" w:lineRule="auto"/>
        <w:jc w:val="both"/>
        <w:rPr>
          <w:rFonts w:ascii="Verdana" w:eastAsia="Times New Roman" w:hAnsi="Verdana" w:cs="InvescoInterstate-Light"/>
          <w:bCs/>
          <w:color w:val="000000"/>
          <w:sz w:val="20"/>
          <w:szCs w:val="20"/>
          <w:lang w:eastAsia="en-GB"/>
        </w:rPr>
      </w:pPr>
    </w:p>
    <w:p w14:paraId="6EAA5F63" w14:textId="77777777" w:rsidR="001E5E10" w:rsidRPr="00487FA5" w:rsidRDefault="001E5E10" w:rsidP="001E5E10">
      <w:pPr>
        <w:spacing w:after="240" w:line="360" w:lineRule="auto"/>
        <w:jc w:val="both"/>
        <w:rPr>
          <w:rFonts w:ascii="Verdana" w:hAnsi="Verdana"/>
          <w:b/>
          <w:color w:val="000000"/>
          <w:szCs w:val="20"/>
        </w:rPr>
      </w:pPr>
      <w:r w:rsidRPr="00487FA5">
        <w:rPr>
          <w:rFonts w:ascii="Verdana" w:hAnsi="Verdana"/>
          <w:b/>
          <w:color w:val="000000"/>
          <w:szCs w:val="20"/>
        </w:rPr>
        <w:t>ENDS</w:t>
      </w:r>
    </w:p>
    <w:p w14:paraId="191A5C77" w14:textId="77777777" w:rsidR="001E5E10" w:rsidRPr="00C16202" w:rsidRDefault="001E5E10" w:rsidP="001E5E10">
      <w:pPr>
        <w:pStyle w:val="paragraph"/>
        <w:spacing w:before="0" w:beforeAutospacing="0" w:after="0" w:afterAutospacing="0"/>
        <w:textAlignment w:val="baseline"/>
        <w:rPr>
          <w:rFonts w:ascii="Segoe UI" w:hAnsi="Segoe UI" w:cs="Segoe UI"/>
          <w:sz w:val="18"/>
          <w:szCs w:val="18"/>
          <w:lang w:val="en-GB"/>
        </w:rPr>
      </w:pPr>
      <w:r w:rsidRPr="00C16202">
        <w:rPr>
          <w:rStyle w:val="normaltextrun"/>
          <w:rFonts w:ascii="Verdana" w:hAnsi="Verdana" w:cs="Segoe UI"/>
          <w:b/>
          <w:bCs/>
          <w:sz w:val="21"/>
          <w:szCs w:val="21"/>
          <w:lang w:val="en-GB"/>
        </w:rPr>
        <w:t>Contacts</w:t>
      </w:r>
      <w:r w:rsidRPr="00C16202">
        <w:rPr>
          <w:rStyle w:val="eop"/>
          <w:rFonts w:ascii="Verdana" w:hAnsi="Verdana" w:cs="Segoe UI"/>
          <w:sz w:val="21"/>
          <w:szCs w:val="21"/>
          <w:lang w:val="en-GB"/>
        </w:rPr>
        <w:t> </w:t>
      </w:r>
    </w:p>
    <w:p w14:paraId="235A12AE" w14:textId="77777777" w:rsidR="001E5E10" w:rsidRPr="00C16202" w:rsidRDefault="001E5E10" w:rsidP="001E5E10">
      <w:pPr>
        <w:pStyle w:val="paragraph"/>
        <w:spacing w:before="0" w:beforeAutospacing="0" w:after="0" w:afterAutospacing="0"/>
        <w:textAlignment w:val="baseline"/>
        <w:rPr>
          <w:rFonts w:ascii="Segoe UI" w:hAnsi="Segoe UI" w:cs="Segoe UI"/>
          <w:sz w:val="18"/>
          <w:szCs w:val="18"/>
          <w:lang w:val="en-GB"/>
        </w:rPr>
      </w:pPr>
      <w:r w:rsidRPr="00C16202">
        <w:rPr>
          <w:rStyle w:val="eop"/>
          <w:rFonts w:ascii="Verdana" w:hAnsi="Verdana" w:cs="Segoe UI"/>
          <w:sz w:val="18"/>
          <w:szCs w:val="18"/>
          <w:lang w:val="en-GB"/>
        </w:rPr>
        <w:t> </w:t>
      </w:r>
    </w:p>
    <w:p w14:paraId="518B61B2" w14:textId="77777777" w:rsidR="001E5E10" w:rsidRPr="001B0AF2" w:rsidRDefault="001E5E10" w:rsidP="001E5E10">
      <w:pPr>
        <w:pStyle w:val="paragraph"/>
        <w:spacing w:before="0" w:beforeAutospacing="0" w:after="0" w:afterAutospacing="0"/>
        <w:textAlignment w:val="baseline"/>
        <w:rPr>
          <w:rStyle w:val="normaltextrun"/>
          <w:rFonts w:ascii="Verdana" w:hAnsi="Verdana" w:cs="Segoe UI"/>
          <w:b/>
          <w:bCs/>
          <w:sz w:val="18"/>
          <w:szCs w:val="18"/>
          <w:lang w:val="en-GB"/>
        </w:rPr>
      </w:pPr>
      <w:r w:rsidRPr="001B0AF2">
        <w:rPr>
          <w:rStyle w:val="normaltextrun"/>
          <w:rFonts w:ascii="Verdana" w:hAnsi="Verdana" w:cs="Segoe UI"/>
          <w:b/>
          <w:bCs/>
          <w:sz w:val="18"/>
          <w:szCs w:val="18"/>
          <w:lang w:val="en-GB"/>
        </w:rPr>
        <w:t>Citigate Dewe Rogerson</w:t>
      </w:r>
    </w:p>
    <w:p w14:paraId="6B2FC440" w14:textId="77777777" w:rsidR="001E5E10" w:rsidRDefault="001E5E10" w:rsidP="001E5E10">
      <w:pPr>
        <w:pStyle w:val="paragraph"/>
        <w:spacing w:before="0" w:beforeAutospacing="0" w:after="0" w:afterAutospacing="0"/>
        <w:textAlignment w:val="baseline"/>
        <w:rPr>
          <w:rStyle w:val="normaltextrun"/>
          <w:rFonts w:ascii="Verdana" w:hAnsi="Verdana" w:cs="Segoe UI"/>
          <w:sz w:val="18"/>
          <w:szCs w:val="18"/>
          <w:lang w:val="en-GB"/>
        </w:rPr>
      </w:pPr>
      <w:r>
        <w:rPr>
          <w:rStyle w:val="normaltextrun"/>
          <w:rFonts w:ascii="Verdana" w:hAnsi="Verdana" w:cs="Segoe UI"/>
          <w:sz w:val="18"/>
          <w:szCs w:val="18"/>
          <w:lang w:val="en-GB"/>
        </w:rPr>
        <w:t>Hugh Fasken / Patricia DeBidegain</w:t>
      </w:r>
    </w:p>
    <w:p w14:paraId="2288BC3E" w14:textId="77777777" w:rsidR="001E5E10" w:rsidRPr="00DC6EF3" w:rsidRDefault="001E5E10" w:rsidP="001E5E10">
      <w:pPr>
        <w:pStyle w:val="paragraph"/>
        <w:spacing w:before="0" w:beforeAutospacing="0" w:after="0" w:afterAutospacing="0"/>
        <w:textAlignment w:val="baseline"/>
        <w:rPr>
          <w:rFonts w:ascii="Segoe UI" w:hAnsi="Segoe UI" w:cs="Segoe UI"/>
          <w:sz w:val="18"/>
          <w:szCs w:val="18"/>
          <w:lang w:val="de-DE"/>
        </w:rPr>
      </w:pPr>
      <w:r w:rsidRPr="00DC6EF3">
        <w:rPr>
          <w:rStyle w:val="normaltextrun"/>
          <w:rFonts w:ascii="Verdana" w:hAnsi="Verdana" w:cs="Segoe UI"/>
          <w:sz w:val="18"/>
          <w:szCs w:val="18"/>
          <w:lang w:val="de-DE"/>
        </w:rPr>
        <w:t>T: +44 020 7025 6400 / 6435 / 6482</w:t>
      </w:r>
    </w:p>
    <w:p w14:paraId="72AA6D10" w14:textId="77777777" w:rsidR="001E5E10" w:rsidRPr="00DC6EF3" w:rsidRDefault="001E5E10" w:rsidP="001E5E10">
      <w:pPr>
        <w:pStyle w:val="paragraph"/>
        <w:spacing w:before="0" w:beforeAutospacing="0" w:after="0" w:afterAutospacing="0"/>
        <w:textAlignment w:val="baseline"/>
        <w:rPr>
          <w:rFonts w:ascii="Segoe UI" w:hAnsi="Segoe UI" w:cs="Segoe UI"/>
          <w:sz w:val="18"/>
          <w:szCs w:val="18"/>
          <w:lang w:val="de-DE"/>
        </w:rPr>
      </w:pPr>
      <w:r w:rsidRPr="00DC6EF3">
        <w:rPr>
          <w:rStyle w:val="normaltextrun"/>
          <w:rFonts w:ascii="Verdana" w:hAnsi="Verdana" w:cs="Segoe UI"/>
          <w:sz w:val="18"/>
          <w:szCs w:val="18"/>
          <w:lang w:val="de-DE"/>
        </w:rPr>
        <w:t>M: +44 7986 950 489</w:t>
      </w:r>
    </w:p>
    <w:p w14:paraId="0F26F727" w14:textId="77777777" w:rsidR="001E5E10" w:rsidRPr="00DC6EF3" w:rsidRDefault="001E5E10" w:rsidP="001E5E10">
      <w:pPr>
        <w:pStyle w:val="paragraph"/>
        <w:spacing w:before="0" w:beforeAutospacing="0" w:after="0" w:afterAutospacing="0"/>
        <w:textAlignment w:val="baseline"/>
        <w:rPr>
          <w:rStyle w:val="normaltextrun"/>
          <w:rFonts w:ascii="Verdana" w:hAnsi="Verdana"/>
          <w:lang w:val="de-DE"/>
        </w:rPr>
      </w:pPr>
      <w:r w:rsidRPr="00DC6EF3">
        <w:rPr>
          <w:rStyle w:val="normaltextrun"/>
          <w:rFonts w:ascii="Verdana" w:hAnsi="Verdana" w:cs="Segoe UI"/>
          <w:sz w:val="18"/>
          <w:szCs w:val="18"/>
          <w:lang w:val="de-DE"/>
        </w:rPr>
        <w:t>E: hugh.fasken@citigatedewerogerson.com / patricia.debidegain@citigatedewerogerson.com</w:t>
      </w:r>
    </w:p>
    <w:p w14:paraId="22D90C3D" w14:textId="77777777" w:rsidR="001E5E10" w:rsidRPr="00DC6EF3" w:rsidRDefault="001E5E10" w:rsidP="001E5E10">
      <w:pPr>
        <w:jc w:val="both"/>
        <w:rPr>
          <w:rFonts w:ascii="InvescoInterstate-Light" w:hAnsi="InvescoInterstate-Light" w:cs="InvescoInterstate-Light"/>
          <w:sz w:val="21"/>
          <w:szCs w:val="21"/>
          <w:lang w:val="de-DE" w:eastAsia="de-DE"/>
        </w:rPr>
      </w:pPr>
    </w:p>
    <w:p w14:paraId="40E567A0" w14:textId="01D62560" w:rsidR="001E5E10" w:rsidRPr="001E5E10" w:rsidRDefault="001E5E10" w:rsidP="001E5E10">
      <w:pPr>
        <w:jc w:val="both"/>
        <w:rPr>
          <w:rFonts w:ascii="Verdana" w:hAnsi="Verdana"/>
          <w:b/>
          <w:bCs/>
          <w:lang w:eastAsia="de-DE"/>
        </w:rPr>
      </w:pPr>
      <w:r w:rsidRPr="00487FA5">
        <w:rPr>
          <w:rFonts w:ascii="Verdana" w:hAnsi="Verdana"/>
          <w:b/>
          <w:bCs/>
          <w:lang w:eastAsia="de-DE"/>
        </w:rPr>
        <w:t xml:space="preserve">Notes to Editors </w:t>
      </w:r>
    </w:p>
    <w:p w14:paraId="3BC53945" w14:textId="17B468DE" w:rsidR="001E5E10" w:rsidRPr="00C16202" w:rsidRDefault="001E5E10" w:rsidP="001E5E10">
      <w:pPr>
        <w:pStyle w:val="paragraph"/>
        <w:spacing w:before="0" w:beforeAutospacing="0" w:after="0" w:afterAutospacing="0"/>
        <w:jc w:val="both"/>
        <w:textAlignment w:val="baseline"/>
        <w:rPr>
          <w:rFonts w:ascii="Segoe UI" w:hAnsi="Segoe UI" w:cs="Segoe UI"/>
          <w:sz w:val="18"/>
          <w:szCs w:val="18"/>
          <w:lang w:val="en-GB"/>
        </w:rPr>
      </w:pPr>
      <w:r w:rsidRPr="00C16202">
        <w:rPr>
          <w:rStyle w:val="normaltextrun"/>
          <w:rFonts w:ascii="Verdana" w:hAnsi="Verdana" w:cs="Segoe UI"/>
          <w:b/>
          <w:bCs/>
          <w:sz w:val="22"/>
          <w:szCs w:val="22"/>
          <w:lang w:val="en-GB"/>
        </w:rPr>
        <w:t>About Invesco</w:t>
      </w:r>
      <w:r w:rsidRPr="00C16202">
        <w:rPr>
          <w:rStyle w:val="eop"/>
          <w:rFonts w:ascii="Verdana" w:hAnsi="Verdana" w:cs="Segoe UI"/>
          <w:sz w:val="22"/>
          <w:szCs w:val="22"/>
          <w:lang w:val="en-GB"/>
        </w:rPr>
        <w:t> </w:t>
      </w:r>
    </w:p>
    <w:p w14:paraId="65BA0397" w14:textId="267B6EA9" w:rsidR="002A6511" w:rsidRPr="00D13EC8" w:rsidRDefault="002A6511" w:rsidP="002A6511">
      <w:pPr>
        <w:spacing w:after="0" w:line="240" w:lineRule="auto"/>
        <w:jc w:val="both"/>
        <w:rPr>
          <w:rStyle w:val="normaltextrun"/>
          <w:rFonts w:ascii="Verdana" w:eastAsia="Times New Roman" w:hAnsi="Verdana" w:cs="Segoe UI"/>
          <w:sz w:val="18"/>
          <w:szCs w:val="18"/>
        </w:rPr>
      </w:pPr>
      <w:r w:rsidRPr="00D13EC8">
        <w:rPr>
          <w:rStyle w:val="normaltextrun"/>
          <w:rFonts w:ascii="Verdana" w:eastAsia="Times New Roman" w:hAnsi="Verdana" w:cs="Segoe UI"/>
          <w:sz w:val="18"/>
          <w:szCs w:val="18"/>
        </w:rPr>
        <w:t xml:space="preserve">Invesco is a global independent investment management firm dedicated to delivering an investment experience that helps people get more out of life. Our distinctive investment teams deliver a comprehensive range of active, passive and alternative investment capabilities. With offices in 25 countries, Invesco managed </w:t>
      </w:r>
      <w:r w:rsidR="00D13EC8" w:rsidRPr="00D13EC8">
        <w:rPr>
          <w:rStyle w:val="normaltextrun"/>
          <w:rFonts w:ascii="Verdana" w:eastAsia="Times New Roman" w:hAnsi="Verdana" w:cs="Segoe UI"/>
          <w:sz w:val="18"/>
          <w:szCs w:val="18"/>
        </w:rPr>
        <w:t>€955.1</w:t>
      </w:r>
      <w:r w:rsidRPr="00D13EC8">
        <w:rPr>
          <w:rStyle w:val="normaltextrun"/>
          <w:rFonts w:ascii="Verdana" w:eastAsia="Times New Roman" w:hAnsi="Verdana" w:cs="Segoe UI"/>
          <w:sz w:val="18"/>
          <w:szCs w:val="18"/>
        </w:rPr>
        <w:t xml:space="preserve"> </w:t>
      </w:r>
      <w:r w:rsidR="00D13EC8" w:rsidRPr="00D13EC8">
        <w:rPr>
          <w:rStyle w:val="normaltextrun"/>
          <w:rFonts w:ascii="Verdana" w:eastAsia="Times New Roman" w:hAnsi="Verdana" w:cs="Segoe UI"/>
          <w:sz w:val="18"/>
          <w:szCs w:val="18"/>
        </w:rPr>
        <w:t>b</w:t>
      </w:r>
      <w:r w:rsidRPr="00D13EC8">
        <w:rPr>
          <w:rStyle w:val="normaltextrun"/>
          <w:rFonts w:ascii="Verdana" w:eastAsia="Times New Roman" w:hAnsi="Verdana" w:cs="Segoe UI"/>
          <w:sz w:val="18"/>
          <w:szCs w:val="18"/>
        </w:rPr>
        <w:t>illion in assets on behalf of clients worldwide as of 31 March 2020. For more information, visit Invesco.com. NYSE: IVZ.</w:t>
      </w:r>
    </w:p>
    <w:p w14:paraId="2C28A122" w14:textId="77777777" w:rsidR="002A6511" w:rsidRDefault="002A6511" w:rsidP="002A6511">
      <w:pPr>
        <w:spacing w:after="0" w:line="240" w:lineRule="auto"/>
        <w:jc w:val="both"/>
        <w:rPr>
          <w:rFonts w:ascii="Arial" w:eastAsia="Arial" w:hAnsi="Arial" w:cs="Arial"/>
          <w:b/>
          <w:color w:val="000000" w:themeColor="text1"/>
          <w:sz w:val="20"/>
          <w:szCs w:val="20"/>
        </w:rPr>
      </w:pPr>
    </w:p>
    <w:p w14:paraId="2DBA50B2" w14:textId="58B21C01" w:rsidR="002A6511" w:rsidRPr="00D13EC8" w:rsidRDefault="002A6511" w:rsidP="00D13EC8">
      <w:pPr>
        <w:pStyle w:val="paragraph"/>
        <w:spacing w:before="0" w:beforeAutospacing="0" w:after="0" w:afterAutospacing="0"/>
        <w:jc w:val="both"/>
        <w:textAlignment w:val="baseline"/>
        <w:rPr>
          <w:rStyle w:val="normaltextrun"/>
          <w:rFonts w:ascii="Verdana" w:hAnsi="Verdana" w:cs="Segoe UI"/>
          <w:b/>
          <w:sz w:val="22"/>
          <w:szCs w:val="22"/>
          <w:lang w:val="en-GB"/>
        </w:rPr>
      </w:pPr>
      <w:r w:rsidRPr="00D13EC8">
        <w:rPr>
          <w:rStyle w:val="normaltextrun"/>
          <w:rFonts w:ascii="Verdana" w:hAnsi="Verdana" w:cs="Segoe UI"/>
          <w:b/>
          <w:sz w:val="22"/>
          <w:szCs w:val="22"/>
          <w:lang w:val="en-GB"/>
        </w:rPr>
        <w:t>About Invesco Real Estate</w:t>
      </w:r>
      <w:r w:rsidR="00D13EC8" w:rsidRPr="00D13EC8">
        <w:rPr>
          <w:rStyle w:val="normaltextrun"/>
          <w:rFonts w:ascii="Verdana" w:hAnsi="Verdana" w:cs="Segoe UI"/>
          <w:b/>
          <w:sz w:val="22"/>
          <w:szCs w:val="22"/>
          <w:lang w:val="en-GB"/>
        </w:rPr>
        <w:t xml:space="preserve"> </w:t>
      </w:r>
    </w:p>
    <w:p w14:paraId="19F5FAF0" w14:textId="77777777" w:rsidR="00C57254" w:rsidRPr="00C57254" w:rsidRDefault="002A6511" w:rsidP="00C57254">
      <w:pPr>
        <w:pStyle w:val="paragraph"/>
        <w:spacing w:before="0" w:beforeAutospacing="0" w:after="0" w:afterAutospacing="0"/>
        <w:jc w:val="both"/>
        <w:textAlignment w:val="baseline"/>
        <w:rPr>
          <w:rStyle w:val="normaltextrun"/>
          <w:rFonts w:ascii="Verdana" w:hAnsi="Verdana" w:cs="Segoe UI"/>
          <w:sz w:val="18"/>
          <w:szCs w:val="18"/>
          <w:lang w:val="en-GB"/>
        </w:rPr>
      </w:pPr>
      <w:r w:rsidRPr="00C57254">
        <w:rPr>
          <w:rStyle w:val="normaltextrun"/>
          <w:rFonts w:ascii="Verdana" w:hAnsi="Verdana" w:cs="Segoe UI"/>
          <w:sz w:val="18"/>
          <w:szCs w:val="18"/>
          <w:lang w:val="en-GB"/>
        </w:rPr>
        <w:t xml:space="preserve">Invesco Real Estate is a global leader in the real estate investment management business with </w:t>
      </w:r>
    </w:p>
    <w:p w14:paraId="11BAC6C9" w14:textId="43E93A5D" w:rsidR="001E5E10" w:rsidRDefault="00D13EC8" w:rsidP="00BB3E10">
      <w:pPr>
        <w:pStyle w:val="paragraph"/>
        <w:spacing w:before="0" w:beforeAutospacing="0" w:after="0" w:afterAutospacing="0"/>
        <w:jc w:val="both"/>
        <w:textAlignment w:val="baseline"/>
        <w:rPr>
          <w:rStyle w:val="normaltextrun"/>
          <w:rFonts w:ascii="Verdana" w:hAnsi="Verdana" w:cs="Segoe UI"/>
          <w:sz w:val="18"/>
          <w:szCs w:val="18"/>
          <w:lang w:val="en-GB"/>
        </w:rPr>
      </w:pPr>
      <w:r w:rsidRPr="00C57254">
        <w:rPr>
          <w:rStyle w:val="normaltextrun"/>
          <w:rFonts w:ascii="Verdana" w:hAnsi="Verdana" w:cs="Segoe UI"/>
          <w:sz w:val="18"/>
          <w:szCs w:val="18"/>
          <w:lang w:val="en-GB"/>
        </w:rPr>
        <w:t>€68.8</w:t>
      </w:r>
      <w:r w:rsidR="002A6511" w:rsidRPr="00C57254">
        <w:rPr>
          <w:rStyle w:val="normaltextrun"/>
          <w:rFonts w:ascii="Verdana" w:hAnsi="Verdana" w:cs="Segoe UI"/>
          <w:sz w:val="18"/>
          <w:szCs w:val="18"/>
          <w:lang w:val="en-GB"/>
        </w:rPr>
        <w:t xml:space="preserve"> billion in real estate assets under management, 5</w:t>
      </w:r>
      <w:r w:rsidRPr="00C57254">
        <w:rPr>
          <w:rStyle w:val="normaltextrun"/>
          <w:rFonts w:ascii="Verdana" w:hAnsi="Verdana" w:cs="Segoe UI"/>
          <w:sz w:val="18"/>
          <w:szCs w:val="18"/>
          <w:lang w:val="en-GB"/>
        </w:rPr>
        <w:t>68</w:t>
      </w:r>
      <w:r w:rsidR="002A6511" w:rsidRPr="00C57254">
        <w:rPr>
          <w:rStyle w:val="normaltextrun"/>
          <w:rFonts w:ascii="Verdana" w:hAnsi="Verdana" w:cs="Segoe UI"/>
          <w:sz w:val="18"/>
          <w:szCs w:val="18"/>
          <w:lang w:val="en-GB"/>
        </w:rPr>
        <w:t xml:space="preserve"> employees and 21 regional offices across the U.S., Europe and Asia</w:t>
      </w:r>
      <w:r w:rsidR="00C57254" w:rsidRPr="00C57254">
        <w:rPr>
          <w:rStyle w:val="normaltextrun"/>
          <w:rFonts w:ascii="Verdana" w:hAnsi="Verdana" w:cs="Segoe UI"/>
          <w:sz w:val="18"/>
          <w:szCs w:val="18"/>
          <w:lang w:val="en-GB"/>
        </w:rPr>
        <w:t>.</w:t>
      </w:r>
      <w:r w:rsidR="002A6511" w:rsidRPr="00C57254">
        <w:rPr>
          <w:rStyle w:val="normaltextrun"/>
          <w:rFonts w:ascii="Verdana" w:hAnsi="Verdana" w:cs="Segoe UI"/>
          <w:sz w:val="18"/>
          <w:szCs w:val="18"/>
          <w:lang w:val="en-GB"/>
        </w:rPr>
        <w:t xml:space="preserve"> Invesco Real Estate has been actively investing in core, value-add and opportunistic real estate strategies since 1992.</w:t>
      </w:r>
      <w:r w:rsidR="00C57254" w:rsidRPr="00C57254">
        <w:rPr>
          <w:rStyle w:val="normaltextrun"/>
          <w:rFonts w:ascii="Verdana" w:hAnsi="Verdana" w:cs="Segoe UI"/>
          <w:sz w:val="18"/>
          <w:szCs w:val="18"/>
          <w:lang w:val="en-GB"/>
        </w:rPr>
        <w:t xml:space="preserve"> </w:t>
      </w:r>
      <w:r w:rsidR="001E5E10" w:rsidRPr="00C57254">
        <w:rPr>
          <w:rStyle w:val="normaltextrun"/>
          <w:rFonts w:ascii="Verdana" w:hAnsi="Verdana" w:cs="Segoe UI"/>
          <w:sz w:val="18"/>
          <w:szCs w:val="18"/>
          <w:lang w:val="en-GB"/>
        </w:rPr>
        <w:t>In Europe, I</w:t>
      </w:r>
      <w:r w:rsidR="00145EEA">
        <w:rPr>
          <w:rStyle w:val="normaltextrun"/>
          <w:rFonts w:ascii="Verdana" w:hAnsi="Verdana" w:cs="Segoe UI"/>
          <w:sz w:val="18"/>
          <w:szCs w:val="18"/>
          <w:lang w:val="en-GB"/>
        </w:rPr>
        <w:t>nvesco Real Estate</w:t>
      </w:r>
      <w:r w:rsidR="001E5E10" w:rsidRPr="00C57254">
        <w:rPr>
          <w:rStyle w:val="normaltextrun"/>
          <w:rFonts w:ascii="Verdana" w:hAnsi="Verdana" w:cs="Segoe UI"/>
          <w:sz w:val="18"/>
          <w:szCs w:val="18"/>
          <w:lang w:val="en-GB"/>
        </w:rPr>
        <w:t xml:space="preserve"> has eight offices in </w:t>
      </w:r>
      <w:r w:rsidR="001E5E10" w:rsidRPr="00C57254">
        <w:rPr>
          <w:rStyle w:val="normaltextrun"/>
          <w:rFonts w:ascii="Verdana" w:hAnsi="Verdana" w:cs="Segoe UI"/>
          <w:sz w:val="18"/>
          <w:szCs w:val="18"/>
          <w:lang w:val="en-GB"/>
        </w:rPr>
        <w:lastRenderedPageBreak/>
        <w:t>London, Munich, Milan, Madrid, Paris, Prague, Luxembourg and Warsaw, and</w:t>
      </w:r>
      <w:r w:rsidR="00C57254" w:rsidRPr="00C57254">
        <w:rPr>
          <w:rStyle w:val="normaltextrun"/>
          <w:rFonts w:ascii="Verdana" w:hAnsi="Verdana" w:cs="Segoe UI"/>
          <w:sz w:val="18"/>
          <w:szCs w:val="18"/>
          <w:lang w:val="en-GB"/>
        </w:rPr>
        <w:t xml:space="preserve"> </w:t>
      </w:r>
      <w:r w:rsidR="001E5E10" w:rsidRPr="00C57254">
        <w:rPr>
          <w:rStyle w:val="normaltextrun"/>
          <w:rFonts w:ascii="Verdana" w:hAnsi="Verdana" w:cs="Segoe UI"/>
          <w:sz w:val="18"/>
          <w:szCs w:val="18"/>
          <w:lang w:val="en-GB"/>
        </w:rPr>
        <w:t>around 166 employees. It manages 16</w:t>
      </w:r>
      <w:r w:rsidRPr="00C57254">
        <w:rPr>
          <w:rStyle w:val="normaltextrun"/>
          <w:rFonts w:ascii="Verdana" w:hAnsi="Verdana" w:cs="Segoe UI"/>
          <w:sz w:val="18"/>
          <w:szCs w:val="18"/>
          <w:lang w:val="en-GB"/>
        </w:rPr>
        <w:t>9</w:t>
      </w:r>
      <w:r w:rsidR="001E5E10" w:rsidRPr="00C57254">
        <w:rPr>
          <w:rStyle w:val="normaltextrun"/>
          <w:rFonts w:ascii="Verdana" w:hAnsi="Verdana" w:cs="Segoe UI"/>
          <w:sz w:val="18"/>
          <w:szCs w:val="18"/>
          <w:lang w:val="en-GB"/>
        </w:rPr>
        <w:t xml:space="preserve"> assets across 14 European countries and with assets under management of </w:t>
      </w:r>
      <w:r w:rsidRPr="00C57254">
        <w:rPr>
          <w:rStyle w:val="normaltextrun"/>
          <w:rFonts w:ascii="Verdana" w:hAnsi="Verdana" w:cs="Segoe UI"/>
          <w:sz w:val="18"/>
          <w:szCs w:val="18"/>
          <w:lang w:val="en-GB"/>
        </w:rPr>
        <w:t>€13.1</w:t>
      </w:r>
      <w:r w:rsidR="001E5E10" w:rsidRPr="00C57254">
        <w:rPr>
          <w:rStyle w:val="normaltextrun"/>
          <w:rFonts w:ascii="Verdana" w:hAnsi="Verdana" w:cs="Segoe UI"/>
          <w:sz w:val="18"/>
          <w:szCs w:val="18"/>
          <w:lang w:val="en-GB"/>
        </w:rPr>
        <w:t>bn. </w:t>
      </w:r>
    </w:p>
    <w:p w14:paraId="3FA765F4" w14:textId="77777777" w:rsidR="00BB3E10" w:rsidRPr="00C57254" w:rsidRDefault="00BB3E10" w:rsidP="00BB3E10">
      <w:pPr>
        <w:pStyle w:val="paragraph"/>
        <w:spacing w:before="0" w:beforeAutospacing="0" w:after="0" w:afterAutospacing="0"/>
        <w:jc w:val="both"/>
        <w:textAlignment w:val="baseline"/>
        <w:rPr>
          <w:rStyle w:val="normaltextrun"/>
          <w:rFonts w:cs="Segoe UI"/>
        </w:rPr>
      </w:pPr>
    </w:p>
    <w:p w14:paraId="4568D2A1" w14:textId="77777777" w:rsidR="001E5E10" w:rsidRPr="00487FA5" w:rsidRDefault="001E5E10" w:rsidP="001E5E10">
      <w:pPr>
        <w:pStyle w:val="Textkrper"/>
        <w:spacing w:line="240" w:lineRule="auto"/>
        <w:jc w:val="both"/>
        <w:rPr>
          <w:rFonts w:ascii="Verdana" w:hAnsi="Verdana"/>
          <w:b/>
          <w:bCs/>
          <w:sz w:val="22"/>
          <w:szCs w:val="22"/>
          <w:lang w:val="en-GB"/>
        </w:rPr>
      </w:pPr>
      <w:r w:rsidRPr="00487FA5">
        <w:rPr>
          <w:rFonts w:ascii="Verdana" w:hAnsi="Verdana"/>
          <w:b/>
          <w:bCs/>
          <w:sz w:val="22"/>
          <w:szCs w:val="22"/>
          <w:lang w:val="en-GB"/>
        </w:rPr>
        <w:t xml:space="preserve">This press release is intended for trade press use only. Please do not </w:t>
      </w:r>
    </w:p>
    <w:p w14:paraId="61653A83" w14:textId="38F9565C" w:rsidR="001E5E10" w:rsidRPr="00487FA5" w:rsidRDefault="001E5E10" w:rsidP="001E5E10">
      <w:pPr>
        <w:pStyle w:val="Textkrper"/>
        <w:spacing w:line="240" w:lineRule="auto"/>
        <w:jc w:val="both"/>
        <w:rPr>
          <w:rFonts w:ascii="Verdana" w:hAnsi="Verdana"/>
          <w:sz w:val="16"/>
          <w:szCs w:val="18"/>
          <w:lang w:val="en-GB"/>
        </w:rPr>
      </w:pPr>
      <w:r w:rsidRPr="00487FA5">
        <w:rPr>
          <w:rFonts w:ascii="Verdana" w:hAnsi="Verdana"/>
          <w:b/>
          <w:bCs/>
          <w:sz w:val="22"/>
          <w:szCs w:val="22"/>
          <w:lang w:val="en-GB"/>
        </w:rPr>
        <w:t>redistribute.</w:t>
      </w:r>
      <w:r w:rsidRPr="00487FA5">
        <w:rPr>
          <w:rFonts w:ascii="Verdana" w:hAnsi="Verdana"/>
          <w:b/>
          <w:sz w:val="18"/>
          <w:szCs w:val="18"/>
          <w:lang w:val="en-GB"/>
        </w:rPr>
        <w:t xml:space="preserve"> </w:t>
      </w:r>
      <w:r w:rsidRPr="00487FA5">
        <w:rPr>
          <w:rFonts w:ascii="Verdana" w:hAnsi="Verdana"/>
          <w:sz w:val="18"/>
          <w:szCs w:val="18"/>
          <w:lang w:val="en-GB"/>
        </w:rPr>
        <w:t xml:space="preserve">Source: Invesco Real Estate as at 31 </w:t>
      </w:r>
      <w:r>
        <w:rPr>
          <w:rFonts w:ascii="Verdana" w:hAnsi="Verdana"/>
          <w:sz w:val="18"/>
          <w:szCs w:val="18"/>
          <w:lang w:val="en-GB"/>
        </w:rPr>
        <w:t>March</w:t>
      </w:r>
      <w:r w:rsidRPr="00487FA5">
        <w:rPr>
          <w:rFonts w:ascii="Verdana" w:hAnsi="Verdana"/>
          <w:sz w:val="18"/>
          <w:szCs w:val="18"/>
          <w:lang w:val="en-GB"/>
        </w:rPr>
        <w:t xml:space="preserve"> 20</w:t>
      </w:r>
      <w:r>
        <w:rPr>
          <w:rFonts w:ascii="Verdana" w:hAnsi="Verdana"/>
          <w:sz w:val="18"/>
          <w:szCs w:val="18"/>
          <w:lang w:val="en-GB"/>
        </w:rPr>
        <w:t>20</w:t>
      </w:r>
      <w:r w:rsidRPr="00487FA5">
        <w:rPr>
          <w:rFonts w:ascii="Verdana" w:hAnsi="Verdana"/>
          <w:sz w:val="18"/>
          <w:szCs w:val="18"/>
          <w:lang w:val="en-GB"/>
        </w:rPr>
        <w:t>.</w:t>
      </w:r>
    </w:p>
    <w:p w14:paraId="03828D22" w14:textId="77777777" w:rsidR="001E5E10" w:rsidRDefault="001E5E10" w:rsidP="001E5E10">
      <w:pPr>
        <w:pStyle w:val="Textkrper"/>
        <w:spacing w:line="240" w:lineRule="auto"/>
        <w:jc w:val="both"/>
        <w:rPr>
          <w:rFonts w:ascii="Verdana" w:hAnsi="Verdana"/>
          <w:sz w:val="16"/>
          <w:szCs w:val="18"/>
          <w:lang w:val="en-GB"/>
        </w:rPr>
      </w:pPr>
    </w:p>
    <w:p w14:paraId="426D0726" w14:textId="3176E380" w:rsidR="001E5E10" w:rsidRDefault="001E5E10" w:rsidP="001E5E10">
      <w:pPr>
        <w:pStyle w:val="Textkrper"/>
        <w:spacing w:line="240" w:lineRule="auto"/>
        <w:jc w:val="both"/>
        <w:rPr>
          <w:rFonts w:ascii="Verdana" w:hAnsi="Verdana"/>
          <w:sz w:val="18"/>
          <w:szCs w:val="18"/>
          <w:lang w:val="en-GB"/>
        </w:rPr>
      </w:pPr>
      <w:r w:rsidRPr="008D440E">
        <w:rPr>
          <w:rFonts w:ascii="Verdana" w:hAnsi="Verdana"/>
          <w:sz w:val="18"/>
          <w:szCs w:val="18"/>
          <w:lang w:val="en-GB"/>
        </w:rPr>
        <w:t>The views and opinions expressed herein are those of Invesco Real Estate professionals based on current market conditions.  They are not necessarily those of other Invesco professionals and are subject to change without notice.</w:t>
      </w:r>
    </w:p>
    <w:p w14:paraId="390266D7" w14:textId="2C300892" w:rsidR="00E864A6" w:rsidRDefault="00E864A6" w:rsidP="001E5E10">
      <w:pPr>
        <w:pStyle w:val="Textkrper"/>
        <w:spacing w:line="240" w:lineRule="auto"/>
        <w:jc w:val="both"/>
        <w:rPr>
          <w:rFonts w:ascii="Verdana" w:hAnsi="Verdana"/>
          <w:sz w:val="18"/>
          <w:szCs w:val="18"/>
          <w:lang w:val="en-GB"/>
        </w:rPr>
      </w:pPr>
    </w:p>
    <w:p w14:paraId="15D48582" w14:textId="164A0D47" w:rsidR="00E864A6" w:rsidRPr="008D440E" w:rsidRDefault="00E864A6" w:rsidP="001E5E10">
      <w:pPr>
        <w:pStyle w:val="Textkrper"/>
        <w:spacing w:line="240" w:lineRule="auto"/>
        <w:jc w:val="both"/>
        <w:rPr>
          <w:rFonts w:ascii="Verdana" w:hAnsi="Verdana"/>
          <w:sz w:val="18"/>
          <w:szCs w:val="18"/>
          <w:lang w:val="en-GB"/>
        </w:rPr>
      </w:pPr>
      <w:r w:rsidRPr="00E864A6">
        <w:rPr>
          <w:rFonts w:ascii="Verdana" w:hAnsi="Verdana"/>
          <w:sz w:val="18"/>
          <w:szCs w:val="18"/>
          <w:lang w:val="en-GB"/>
        </w:rPr>
        <w:t xml:space="preserve">The fund is a dedicated Luxembourg closed-ended unregulated fund. It qualifies as an alternative investment fund (AIF) managed by Invesco Real Estate Management </w:t>
      </w:r>
      <w:proofErr w:type="spellStart"/>
      <w:r w:rsidRPr="00E864A6">
        <w:rPr>
          <w:rFonts w:ascii="Verdana" w:hAnsi="Verdana"/>
          <w:sz w:val="18"/>
          <w:szCs w:val="18"/>
          <w:lang w:val="en-GB"/>
        </w:rPr>
        <w:t>S.à</w:t>
      </w:r>
      <w:proofErr w:type="spellEnd"/>
      <w:r w:rsidRPr="00E864A6">
        <w:rPr>
          <w:rFonts w:ascii="Verdana" w:hAnsi="Verdana"/>
          <w:sz w:val="18"/>
          <w:szCs w:val="18"/>
          <w:lang w:val="en-GB"/>
        </w:rPr>
        <w:t xml:space="preserve"> </w:t>
      </w:r>
      <w:proofErr w:type="spellStart"/>
      <w:r w:rsidRPr="00E864A6">
        <w:rPr>
          <w:rFonts w:ascii="Verdana" w:hAnsi="Verdana"/>
          <w:sz w:val="18"/>
          <w:szCs w:val="18"/>
          <w:lang w:val="en-GB"/>
        </w:rPr>
        <w:t>r.l</w:t>
      </w:r>
      <w:proofErr w:type="spellEnd"/>
      <w:r w:rsidRPr="00E864A6">
        <w:rPr>
          <w:rFonts w:ascii="Verdana" w:hAnsi="Verdana"/>
          <w:sz w:val="18"/>
          <w:szCs w:val="18"/>
          <w:lang w:val="en-GB"/>
        </w:rPr>
        <w:t>. as external alternative investment fund manager (AIFM).</w:t>
      </w:r>
      <w:r>
        <w:rPr>
          <w:rFonts w:ascii="Verdana" w:hAnsi="Verdana"/>
          <w:sz w:val="18"/>
          <w:szCs w:val="18"/>
          <w:lang w:val="en-GB"/>
        </w:rPr>
        <w:t xml:space="preserve"> </w:t>
      </w:r>
      <w:r w:rsidRPr="00E864A6">
        <w:rPr>
          <w:rFonts w:ascii="Verdana" w:hAnsi="Verdana"/>
          <w:sz w:val="18"/>
          <w:szCs w:val="18"/>
          <w:lang w:val="en-GB"/>
        </w:rPr>
        <w:t xml:space="preserve">Subscriptions of shares are only accepted </w:t>
      </w:r>
      <w:proofErr w:type="gramStart"/>
      <w:r w:rsidRPr="00E864A6">
        <w:rPr>
          <w:rFonts w:ascii="Verdana" w:hAnsi="Verdana"/>
          <w:sz w:val="18"/>
          <w:szCs w:val="18"/>
          <w:lang w:val="en-GB"/>
        </w:rPr>
        <w:t>on the basis of</w:t>
      </w:r>
      <w:proofErr w:type="gramEnd"/>
      <w:r w:rsidRPr="00E864A6">
        <w:rPr>
          <w:rFonts w:ascii="Verdana" w:hAnsi="Verdana"/>
          <w:sz w:val="18"/>
          <w:szCs w:val="18"/>
          <w:lang w:val="en-GB"/>
        </w:rPr>
        <w:t xml:space="preserve"> the most up to date legal offering documents.</w:t>
      </w:r>
      <w:r>
        <w:rPr>
          <w:rFonts w:ascii="Verdana" w:hAnsi="Verdana"/>
          <w:sz w:val="18"/>
          <w:szCs w:val="18"/>
          <w:lang w:val="en-GB"/>
        </w:rPr>
        <w:t xml:space="preserve"> </w:t>
      </w:r>
      <w:r w:rsidRPr="00E864A6">
        <w:rPr>
          <w:rFonts w:ascii="Verdana" w:hAnsi="Verdana"/>
          <w:sz w:val="18"/>
          <w:szCs w:val="18"/>
          <w:lang w:val="en-GB"/>
        </w:rPr>
        <w:t>For more information on our funds, please refer to the latest Annual or Interim Reports and the latest offering and constituent documents. This information is available using the contact details of the issuer and is without charge.</w:t>
      </w:r>
    </w:p>
    <w:p w14:paraId="6BB826AD" w14:textId="77777777" w:rsidR="001E5E10" w:rsidRPr="00487FA5" w:rsidRDefault="001E5E10" w:rsidP="001E5E10">
      <w:pPr>
        <w:pStyle w:val="Textkrper"/>
        <w:spacing w:line="240" w:lineRule="auto"/>
        <w:jc w:val="both"/>
        <w:rPr>
          <w:rFonts w:ascii="Verdana" w:hAnsi="Verdana"/>
          <w:sz w:val="16"/>
          <w:szCs w:val="18"/>
          <w:lang w:val="en-GB"/>
        </w:rPr>
      </w:pPr>
    </w:p>
    <w:p w14:paraId="2B6F25DC" w14:textId="7811D5F7" w:rsidR="009F131A" w:rsidRPr="009F131A" w:rsidRDefault="001E5E10" w:rsidP="00BB3E10">
      <w:pPr>
        <w:pStyle w:val="Textkrper"/>
        <w:spacing w:line="240" w:lineRule="auto"/>
        <w:jc w:val="both"/>
        <w:rPr>
          <w:rFonts w:ascii="Verdana" w:hAnsi="Verdana"/>
          <w:sz w:val="18"/>
          <w:szCs w:val="18"/>
          <w:lang w:val="en-GB"/>
        </w:rPr>
      </w:pPr>
      <w:r w:rsidRPr="001A530C">
        <w:rPr>
          <w:rFonts w:ascii="Verdana" w:hAnsi="Verdana"/>
          <w:sz w:val="18"/>
          <w:szCs w:val="18"/>
          <w:lang w:val="en-US"/>
        </w:rPr>
        <w:t xml:space="preserve">This </w:t>
      </w:r>
      <w:r>
        <w:rPr>
          <w:rFonts w:ascii="Verdana" w:hAnsi="Verdana"/>
          <w:sz w:val="18"/>
          <w:szCs w:val="18"/>
          <w:lang w:val="en-US"/>
        </w:rPr>
        <w:t xml:space="preserve">document </w:t>
      </w:r>
      <w:r w:rsidRPr="001A530C">
        <w:rPr>
          <w:rFonts w:ascii="Verdana" w:hAnsi="Verdana"/>
          <w:sz w:val="18"/>
          <w:szCs w:val="18"/>
          <w:lang w:val="en-US"/>
        </w:rPr>
        <w:t>is issued in Austria, Belgium, Denmark, Finland, France, Germany, Ireland, Italy,</w:t>
      </w:r>
      <w:r>
        <w:rPr>
          <w:rFonts w:ascii="Verdana" w:hAnsi="Verdana"/>
          <w:sz w:val="18"/>
          <w:szCs w:val="18"/>
          <w:lang w:val="en-US"/>
        </w:rPr>
        <w:t xml:space="preserve"> Luxembourg,</w:t>
      </w:r>
      <w:r w:rsidRPr="001A530C">
        <w:rPr>
          <w:rFonts w:ascii="Verdana" w:hAnsi="Verdana"/>
          <w:sz w:val="18"/>
          <w:szCs w:val="18"/>
          <w:lang w:val="en-US"/>
        </w:rPr>
        <w:t xml:space="preserve"> the Netherlands, Norway, </w:t>
      </w:r>
      <w:r w:rsidR="002C65DE">
        <w:rPr>
          <w:rFonts w:ascii="Verdana" w:hAnsi="Verdana"/>
          <w:sz w:val="18"/>
          <w:szCs w:val="18"/>
          <w:lang w:val="en-US"/>
        </w:rPr>
        <w:t xml:space="preserve">Slovenia, </w:t>
      </w:r>
      <w:r w:rsidRPr="001A530C">
        <w:rPr>
          <w:rFonts w:ascii="Verdana" w:hAnsi="Verdana"/>
          <w:sz w:val="18"/>
          <w:szCs w:val="18"/>
          <w:lang w:val="en-US"/>
        </w:rPr>
        <w:t>Sweden and the UK by</w:t>
      </w:r>
      <w:r w:rsidR="00BB3E10">
        <w:rPr>
          <w:rFonts w:ascii="Verdana" w:hAnsi="Verdana"/>
          <w:sz w:val="18"/>
          <w:szCs w:val="18"/>
          <w:lang w:val="en-GB"/>
        </w:rPr>
        <w:t xml:space="preserve"> </w:t>
      </w:r>
      <w:r w:rsidR="009F131A" w:rsidRPr="009F131A">
        <w:rPr>
          <w:rFonts w:ascii="Verdana" w:hAnsi="Verdana"/>
          <w:sz w:val="18"/>
          <w:szCs w:val="18"/>
          <w:lang w:val="en-GB"/>
        </w:rPr>
        <w:t xml:space="preserve">Invesco Real Estate Management </w:t>
      </w:r>
      <w:proofErr w:type="spellStart"/>
      <w:r w:rsidR="009F131A" w:rsidRPr="009F131A">
        <w:rPr>
          <w:rFonts w:ascii="Verdana" w:hAnsi="Verdana"/>
          <w:sz w:val="18"/>
          <w:szCs w:val="18"/>
          <w:lang w:val="en-GB"/>
        </w:rPr>
        <w:t>S.a.r.l</w:t>
      </w:r>
      <w:proofErr w:type="spellEnd"/>
      <w:r w:rsidR="009F131A" w:rsidRPr="009F131A">
        <w:rPr>
          <w:rFonts w:ascii="Verdana" w:hAnsi="Verdana"/>
          <w:sz w:val="18"/>
          <w:szCs w:val="18"/>
          <w:lang w:val="en-GB"/>
        </w:rPr>
        <w:t xml:space="preserve">., President Building, 37A Avenue JF Kennedy, L - 1855 Luxembourg, regulated by the Commission de Surveillance du </w:t>
      </w:r>
      <w:proofErr w:type="spellStart"/>
      <w:r w:rsidR="009F131A" w:rsidRPr="009F131A">
        <w:rPr>
          <w:rFonts w:ascii="Verdana" w:hAnsi="Verdana"/>
          <w:sz w:val="18"/>
          <w:szCs w:val="18"/>
          <w:lang w:val="en-GB"/>
        </w:rPr>
        <w:t>Secteur</w:t>
      </w:r>
      <w:proofErr w:type="spellEnd"/>
      <w:r w:rsidR="009F131A" w:rsidRPr="009F131A">
        <w:rPr>
          <w:rFonts w:ascii="Verdana" w:hAnsi="Verdana"/>
          <w:sz w:val="18"/>
          <w:szCs w:val="18"/>
          <w:lang w:val="en-GB"/>
        </w:rPr>
        <w:t xml:space="preserve"> Financier, Luxembourg</w:t>
      </w:r>
      <w:r w:rsidR="00BB3E10">
        <w:rPr>
          <w:rFonts w:ascii="Verdana" w:hAnsi="Verdana"/>
          <w:sz w:val="18"/>
          <w:szCs w:val="18"/>
          <w:lang w:val="en-GB"/>
        </w:rPr>
        <w:t>.</w:t>
      </w:r>
    </w:p>
    <w:p w14:paraId="4C4F375F" w14:textId="77777777" w:rsidR="001E5E10" w:rsidRPr="00C86B2D" w:rsidRDefault="001E5E10" w:rsidP="00BB3E10">
      <w:pPr>
        <w:pStyle w:val="Textkrper"/>
        <w:spacing w:line="240" w:lineRule="auto"/>
        <w:ind w:left="284"/>
        <w:jc w:val="both"/>
        <w:rPr>
          <w:rFonts w:ascii="Verdana" w:hAnsi="Verdana"/>
          <w:sz w:val="18"/>
          <w:szCs w:val="18"/>
          <w:lang w:val="en-US"/>
        </w:rPr>
      </w:pPr>
    </w:p>
    <w:p w14:paraId="45ADD8E5" w14:textId="77777777" w:rsidR="00B82651" w:rsidRDefault="00B82651" w:rsidP="00B82651">
      <w:pPr>
        <w:pStyle w:val="Textkrper"/>
        <w:spacing w:line="240" w:lineRule="auto"/>
        <w:rPr>
          <w:rFonts w:ascii="Invesco Interstate Light" w:hAnsi="Invesco Interstate Light"/>
          <w:bCs/>
          <w:sz w:val="22"/>
          <w:szCs w:val="22"/>
          <w:lang w:val="en-GB"/>
        </w:rPr>
      </w:pPr>
    </w:p>
    <w:p w14:paraId="6C6E72FD" w14:textId="0323BD8F" w:rsidR="003245D6" w:rsidRPr="00A84410" w:rsidRDefault="003245D6" w:rsidP="00A84410">
      <w:pPr>
        <w:spacing w:after="0" w:line="360" w:lineRule="auto"/>
        <w:jc w:val="both"/>
        <w:rPr>
          <w:rFonts w:ascii="Verdana" w:eastAsia="Times New Roman" w:hAnsi="Verdana" w:cs="InvescoInterstate-Light"/>
          <w:bCs/>
          <w:color w:val="000000"/>
          <w:sz w:val="18"/>
          <w:szCs w:val="24"/>
          <w:lang w:eastAsia="en-GB"/>
        </w:rPr>
      </w:pPr>
    </w:p>
    <w:sectPr w:rsidR="003245D6" w:rsidRPr="00A84410">
      <w:head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DF121" w16cex:dateUtc="2020-06-12T11:18:00Z"/>
  <w16cex:commentExtensible w16cex:durableId="228DCF8B" w16cex:dateUtc="2020-06-12T08:55:00Z"/>
  <w16cex:commentExtensible w16cex:durableId="228DCF78" w16cex:dateUtc="2020-06-12T08:55:00Z"/>
  <w16cex:commentExtensible w16cex:durableId="228DF42F" w16cex:dateUtc="2020-06-12T1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063F9" w14:textId="77777777" w:rsidR="005D03D1" w:rsidRDefault="005D03D1" w:rsidP="00A84410">
      <w:pPr>
        <w:spacing w:after="0" w:line="240" w:lineRule="auto"/>
      </w:pPr>
      <w:r>
        <w:separator/>
      </w:r>
    </w:p>
  </w:endnote>
  <w:endnote w:type="continuationSeparator" w:id="0">
    <w:p w14:paraId="081C7CF2" w14:textId="77777777" w:rsidR="005D03D1" w:rsidRDefault="005D03D1" w:rsidP="00A84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vescoInterstate-Light">
    <w:altName w:val="Calibri"/>
    <w:panose1 w:val="02000506030000020004"/>
    <w:charset w:val="00"/>
    <w:family w:val="auto"/>
    <w:notTrueType/>
    <w:pitch w:val="default"/>
    <w:sig w:usb0="00000003" w:usb1="00000000" w:usb2="00000000" w:usb3="00000000" w:csb0="00000001" w:csb1="00000000"/>
  </w:font>
  <w:font w:name="Invesco Interstate Light">
    <w:panose1 w:val="02000506030000020004"/>
    <w:charset w:val="00"/>
    <w:family w:val="modern"/>
    <w:notTrueType/>
    <w:pitch w:val="variable"/>
    <w:sig w:usb0="A00000AF" w:usb1="5000204A"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E7CE7" w14:textId="77777777" w:rsidR="005D03D1" w:rsidRDefault="005D03D1" w:rsidP="00A84410">
      <w:pPr>
        <w:spacing w:after="0" w:line="240" w:lineRule="auto"/>
      </w:pPr>
      <w:r>
        <w:separator/>
      </w:r>
    </w:p>
  </w:footnote>
  <w:footnote w:type="continuationSeparator" w:id="0">
    <w:p w14:paraId="1D4E8A9D" w14:textId="77777777" w:rsidR="005D03D1" w:rsidRDefault="005D03D1" w:rsidP="00A84410">
      <w:pPr>
        <w:spacing w:after="0" w:line="240" w:lineRule="auto"/>
      </w:pPr>
      <w:r>
        <w:continuationSeparator/>
      </w:r>
    </w:p>
  </w:footnote>
  <w:footnote w:id="1">
    <w:p w14:paraId="0935C97B" w14:textId="2FED829D" w:rsidR="001E53AB" w:rsidRDefault="001E53AB" w:rsidP="001E53AB">
      <w:pPr>
        <w:pStyle w:val="Funotentext"/>
      </w:pPr>
      <w:r>
        <w:rPr>
          <w:rStyle w:val="Funotenzeichen"/>
        </w:rPr>
        <w:footnoteRef/>
      </w:r>
      <w:r>
        <w:t xml:space="preserve"> Past performance is not a guide to future returns</w:t>
      </w:r>
      <w:r w:rsidR="00605E85">
        <w:t>. The fund is closed to new investors.</w:t>
      </w:r>
      <w:r w:rsidR="0096558F">
        <w:t xml:space="preserve"> The EVAF I net return is 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2369A" w14:textId="258BBD6C" w:rsidR="00A84410" w:rsidRDefault="00A84410">
    <w:pPr>
      <w:pStyle w:val="Kopfzeile"/>
    </w:pPr>
    <w:r>
      <w:rPr>
        <w:noProof/>
        <w:lang w:eastAsia="en-GB"/>
      </w:rPr>
      <w:drawing>
        <wp:inline distT="0" distB="0" distL="0" distR="0" wp14:anchorId="3DC4F73A" wp14:editId="2A69526C">
          <wp:extent cx="857250" cy="695325"/>
          <wp:effectExtent l="0" t="0" r="0" b="9525"/>
          <wp:docPr id="1" name="Picture 1" descr="Invesco Logo 2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Invesco Logo 2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95325"/>
                  </a:xfrm>
                  <a:prstGeom prst="rect">
                    <a:avLst/>
                  </a:prstGeom>
                  <a:noFill/>
                  <a:ln>
                    <a:noFill/>
                  </a:ln>
                </pic:spPr>
              </pic:pic>
            </a:graphicData>
          </a:graphic>
        </wp:inline>
      </w:drawing>
    </w:r>
  </w:p>
  <w:p w14:paraId="1063190E" w14:textId="77777777" w:rsidR="00D1075E" w:rsidRDefault="00D107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1022"/>
    <w:multiLevelType w:val="hybridMultilevel"/>
    <w:tmpl w:val="3F54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E7D86"/>
    <w:multiLevelType w:val="hybridMultilevel"/>
    <w:tmpl w:val="93E08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060854"/>
    <w:multiLevelType w:val="hybridMultilevel"/>
    <w:tmpl w:val="6AE08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12665"/>
    <w:multiLevelType w:val="hybridMultilevel"/>
    <w:tmpl w:val="77D0F9FE"/>
    <w:lvl w:ilvl="0" w:tplc="2DC40EE0">
      <w:start w:val="1"/>
      <w:numFmt w:val="bullet"/>
      <w:lvlText w:val="•"/>
      <w:lvlJc w:val="left"/>
      <w:pPr>
        <w:tabs>
          <w:tab w:val="num" w:pos="720"/>
        </w:tabs>
        <w:ind w:left="720" w:hanging="360"/>
      </w:pPr>
      <w:rPr>
        <w:rFonts w:ascii="Arial" w:hAnsi="Arial" w:hint="default"/>
      </w:rPr>
    </w:lvl>
    <w:lvl w:ilvl="1" w:tplc="E5AEEDAC" w:tentative="1">
      <w:start w:val="1"/>
      <w:numFmt w:val="bullet"/>
      <w:lvlText w:val="•"/>
      <w:lvlJc w:val="left"/>
      <w:pPr>
        <w:tabs>
          <w:tab w:val="num" w:pos="1440"/>
        </w:tabs>
        <w:ind w:left="1440" w:hanging="360"/>
      </w:pPr>
      <w:rPr>
        <w:rFonts w:ascii="Arial" w:hAnsi="Arial" w:hint="default"/>
      </w:rPr>
    </w:lvl>
    <w:lvl w:ilvl="2" w:tplc="69CAFA64" w:tentative="1">
      <w:start w:val="1"/>
      <w:numFmt w:val="bullet"/>
      <w:lvlText w:val="•"/>
      <w:lvlJc w:val="left"/>
      <w:pPr>
        <w:tabs>
          <w:tab w:val="num" w:pos="2160"/>
        </w:tabs>
        <w:ind w:left="2160" w:hanging="360"/>
      </w:pPr>
      <w:rPr>
        <w:rFonts w:ascii="Arial" w:hAnsi="Arial" w:hint="default"/>
      </w:rPr>
    </w:lvl>
    <w:lvl w:ilvl="3" w:tplc="8F844F68" w:tentative="1">
      <w:start w:val="1"/>
      <w:numFmt w:val="bullet"/>
      <w:lvlText w:val="•"/>
      <w:lvlJc w:val="left"/>
      <w:pPr>
        <w:tabs>
          <w:tab w:val="num" w:pos="2880"/>
        </w:tabs>
        <w:ind w:left="2880" w:hanging="360"/>
      </w:pPr>
      <w:rPr>
        <w:rFonts w:ascii="Arial" w:hAnsi="Arial" w:hint="default"/>
      </w:rPr>
    </w:lvl>
    <w:lvl w:ilvl="4" w:tplc="B636E088" w:tentative="1">
      <w:start w:val="1"/>
      <w:numFmt w:val="bullet"/>
      <w:lvlText w:val="•"/>
      <w:lvlJc w:val="left"/>
      <w:pPr>
        <w:tabs>
          <w:tab w:val="num" w:pos="3600"/>
        </w:tabs>
        <w:ind w:left="3600" w:hanging="360"/>
      </w:pPr>
      <w:rPr>
        <w:rFonts w:ascii="Arial" w:hAnsi="Arial" w:hint="default"/>
      </w:rPr>
    </w:lvl>
    <w:lvl w:ilvl="5" w:tplc="4CC20070" w:tentative="1">
      <w:start w:val="1"/>
      <w:numFmt w:val="bullet"/>
      <w:lvlText w:val="•"/>
      <w:lvlJc w:val="left"/>
      <w:pPr>
        <w:tabs>
          <w:tab w:val="num" w:pos="4320"/>
        </w:tabs>
        <w:ind w:left="4320" w:hanging="360"/>
      </w:pPr>
      <w:rPr>
        <w:rFonts w:ascii="Arial" w:hAnsi="Arial" w:hint="default"/>
      </w:rPr>
    </w:lvl>
    <w:lvl w:ilvl="6" w:tplc="15D284BC" w:tentative="1">
      <w:start w:val="1"/>
      <w:numFmt w:val="bullet"/>
      <w:lvlText w:val="•"/>
      <w:lvlJc w:val="left"/>
      <w:pPr>
        <w:tabs>
          <w:tab w:val="num" w:pos="5040"/>
        </w:tabs>
        <w:ind w:left="5040" w:hanging="360"/>
      </w:pPr>
      <w:rPr>
        <w:rFonts w:ascii="Arial" w:hAnsi="Arial" w:hint="default"/>
      </w:rPr>
    </w:lvl>
    <w:lvl w:ilvl="7" w:tplc="BA6689DC" w:tentative="1">
      <w:start w:val="1"/>
      <w:numFmt w:val="bullet"/>
      <w:lvlText w:val="•"/>
      <w:lvlJc w:val="left"/>
      <w:pPr>
        <w:tabs>
          <w:tab w:val="num" w:pos="5760"/>
        </w:tabs>
        <w:ind w:left="5760" w:hanging="360"/>
      </w:pPr>
      <w:rPr>
        <w:rFonts w:ascii="Arial" w:hAnsi="Arial" w:hint="default"/>
      </w:rPr>
    </w:lvl>
    <w:lvl w:ilvl="8" w:tplc="26A849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D3"/>
    <w:rsid w:val="0003743B"/>
    <w:rsid w:val="00056A59"/>
    <w:rsid w:val="000633E9"/>
    <w:rsid w:val="00073DB2"/>
    <w:rsid w:val="000C29ED"/>
    <w:rsid w:val="000D4422"/>
    <w:rsid w:val="001135B0"/>
    <w:rsid w:val="00133BBB"/>
    <w:rsid w:val="00145EEA"/>
    <w:rsid w:val="00151EBB"/>
    <w:rsid w:val="00153C6A"/>
    <w:rsid w:val="00184D1C"/>
    <w:rsid w:val="00186105"/>
    <w:rsid w:val="001A1520"/>
    <w:rsid w:val="001E03F5"/>
    <w:rsid w:val="001E53AB"/>
    <w:rsid w:val="001E5E10"/>
    <w:rsid w:val="001F36D7"/>
    <w:rsid w:val="00215892"/>
    <w:rsid w:val="002179F2"/>
    <w:rsid w:val="00221D2F"/>
    <w:rsid w:val="00224B3A"/>
    <w:rsid w:val="00264BC1"/>
    <w:rsid w:val="0027435D"/>
    <w:rsid w:val="00290C40"/>
    <w:rsid w:val="002A1B47"/>
    <w:rsid w:val="002A6511"/>
    <w:rsid w:val="002A67F6"/>
    <w:rsid w:val="002B3090"/>
    <w:rsid w:val="002C5634"/>
    <w:rsid w:val="002C65DE"/>
    <w:rsid w:val="002D218F"/>
    <w:rsid w:val="002E2A64"/>
    <w:rsid w:val="003017B1"/>
    <w:rsid w:val="00314D1B"/>
    <w:rsid w:val="003176E6"/>
    <w:rsid w:val="003245D6"/>
    <w:rsid w:val="00344899"/>
    <w:rsid w:val="0035664A"/>
    <w:rsid w:val="00364AA1"/>
    <w:rsid w:val="003821A4"/>
    <w:rsid w:val="003870A2"/>
    <w:rsid w:val="00395A0D"/>
    <w:rsid w:val="003C0B41"/>
    <w:rsid w:val="00424C2A"/>
    <w:rsid w:val="0044390F"/>
    <w:rsid w:val="00444895"/>
    <w:rsid w:val="00454528"/>
    <w:rsid w:val="00462866"/>
    <w:rsid w:val="00482BD0"/>
    <w:rsid w:val="004B5626"/>
    <w:rsid w:val="004E10EB"/>
    <w:rsid w:val="004F07B5"/>
    <w:rsid w:val="004F14CF"/>
    <w:rsid w:val="005069EE"/>
    <w:rsid w:val="00543ECD"/>
    <w:rsid w:val="00561E70"/>
    <w:rsid w:val="005677D1"/>
    <w:rsid w:val="00592743"/>
    <w:rsid w:val="005947D3"/>
    <w:rsid w:val="005B4943"/>
    <w:rsid w:val="005C2C54"/>
    <w:rsid w:val="005C3AFA"/>
    <w:rsid w:val="005C4779"/>
    <w:rsid w:val="005C7A93"/>
    <w:rsid w:val="005D03D1"/>
    <w:rsid w:val="005F4ABE"/>
    <w:rsid w:val="005F5792"/>
    <w:rsid w:val="006012CF"/>
    <w:rsid w:val="00605E85"/>
    <w:rsid w:val="00606E59"/>
    <w:rsid w:val="0062771B"/>
    <w:rsid w:val="00670976"/>
    <w:rsid w:val="006838A7"/>
    <w:rsid w:val="00695481"/>
    <w:rsid w:val="00697A9B"/>
    <w:rsid w:val="006B42AD"/>
    <w:rsid w:val="006C3B1D"/>
    <w:rsid w:val="006C7BFA"/>
    <w:rsid w:val="006D598F"/>
    <w:rsid w:val="00702511"/>
    <w:rsid w:val="00715AB7"/>
    <w:rsid w:val="00721EA8"/>
    <w:rsid w:val="007377E6"/>
    <w:rsid w:val="007505A4"/>
    <w:rsid w:val="00765919"/>
    <w:rsid w:val="00774D1B"/>
    <w:rsid w:val="007917E3"/>
    <w:rsid w:val="00793663"/>
    <w:rsid w:val="007C1044"/>
    <w:rsid w:val="007C2C34"/>
    <w:rsid w:val="007D1F0C"/>
    <w:rsid w:val="007E170D"/>
    <w:rsid w:val="007E74B3"/>
    <w:rsid w:val="007F0225"/>
    <w:rsid w:val="00801E7B"/>
    <w:rsid w:val="008022CB"/>
    <w:rsid w:val="00806837"/>
    <w:rsid w:val="0081309A"/>
    <w:rsid w:val="00825073"/>
    <w:rsid w:val="00840EBF"/>
    <w:rsid w:val="00845FDE"/>
    <w:rsid w:val="0085281A"/>
    <w:rsid w:val="008720C3"/>
    <w:rsid w:val="008834A9"/>
    <w:rsid w:val="00886A1F"/>
    <w:rsid w:val="00892F87"/>
    <w:rsid w:val="008A2BA1"/>
    <w:rsid w:val="008A552A"/>
    <w:rsid w:val="008B4B02"/>
    <w:rsid w:val="008C110C"/>
    <w:rsid w:val="00907ED8"/>
    <w:rsid w:val="00912038"/>
    <w:rsid w:val="00934502"/>
    <w:rsid w:val="009524D0"/>
    <w:rsid w:val="00954807"/>
    <w:rsid w:val="0095508F"/>
    <w:rsid w:val="00960F61"/>
    <w:rsid w:val="0096558F"/>
    <w:rsid w:val="009C04D9"/>
    <w:rsid w:val="009C6075"/>
    <w:rsid w:val="009C78C4"/>
    <w:rsid w:val="009D2270"/>
    <w:rsid w:val="009D6C98"/>
    <w:rsid w:val="009E3AB6"/>
    <w:rsid w:val="009F131A"/>
    <w:rsid w:val="009F20EF"/>
    <w:rsid w:val="009F28C9"/>
    <w:rsid w:val="00A04519"/>
    <w:rsid w:val="00A327C3"/>
    <w:rsid w:val="00A37DAA"/>
    <w:rsid w:val="00A60D01"/>
    <w:rsid w:val="00A84410"/>
    <w:rsid w:val="00AC6D55"/>
    <w:rsid w:val="00AE785D"/>
    <w:rsid w:val="00AF7325"/>
    <w:rsid w:val="00B31EE6"/>
    <w:rsid w:val="00B3298E"/>
    <w:rsid w:val="00B362D1"/>
    <w:rsid w:val="00B8182F"/>
    <w:rsid w:val="00B82651"/>
    <w:rsid w:val="00BA5FE7"/>
    <w:rsid w:val="00BB3E10"/>
    <w:rsid w:val="00BC1EC0"/>
    <w:rsid w:val="00BE783D"/>
    <w:rsid w:val="00BF1256"/>
    <w:rsid w:val="00C30862"/>
    <w:rsid w:val="00C57254"/>
    <w:rsid w:val="00C77C86"/>
    <w:rsid w:val="00C86B2D"/>
    <w:rsid w:val="00CB063B"/>
    <w:rsid w:val="00CB3195"/>
    <w:rsid w:val="00CB5771"/>
    <w:rsid w:val="00CC4C3A"/>
    <w:rsid w:val="00CE0C78"/>
    <w:rsid w:val="00D01C72"/>
    <w:rsid w:val="00D1075E"/>
    <w:rsid w:val="00D13EC8"/>
    <w:rsid w:val="00D277D7"/>
    <w:rsid w:val="00D31446"/>
    <w:rsid w:val="00D36017"/>
    <w:rsid w:val="00D43A95"/>
    <w:rsid w:val="00D45C36"/>
    <w:rsid w:val="00D5243A"/>
    <w:rsid w:val="00D75F9B"/>
    <w:rsid w:val="00D95EF6"/>
    <w:rsid w:val="00DA16EB"/>
    <w:rsid w:val="00DB4B4D"/>
    <w:rsid w:val="00DC6EF3"/>
    <w:rsid w:val="00DD73FF"/>
    <w:rsid w:val="00DE67B5"/>
    <w:rsid w:val="00DE6C64"/>
    <w:rsid w:val="00E03E48"/>
    <w:rsid w:val="00E10B2B"/>
    <w:rsid w:val="00E210D9"/>
    <w:rsid w:val="00E5661E"/>
    <w:rsid w:val="00E80D97"/>
    <w:rsid w:val="00E864A6"/>
    <w:rsid w:val="00EA4FAF"/>
    <w:rsid w:val="00EA689F"/>
    <w:rsid w:val="00EB19B3"/>
    <w:rsid w:val="00EC60D3"/>
    <w:rsid w:val="00F028E8"/>
    <w:rsid w:val="00F34239"/>
    <w:rsid w:val="00F6718A"/>
    <w:rsid w:val="00F9143B"/>
    <w:rsid w:val="00FB101D"/>
    <w:rsid w:val="00FB1FB0"/>
    <w:rsid w:val="00FB2605"/>
    <w:rsid w:val="00FB2801"/>
    <w:rsid w:val="00FB51E6"/>
    <w:rsid w:val="00FD5E9C"/>
    <w:rsid w:val="00FF67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6A7E"/>
  <w15:docId w15:val="{386037F5-7CFA-4816-80B1-CA94D040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53C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3C6A"/>
    <w:rPr>
      <w:rFonts w:ascii="Segoe UI" w:hAnsi="Segoe UI" w:cs="Segoe UI"/>
      <w:sz w:val="18"/>
      <w:szCs w:val="18"/>
    </w:rPr>
  </w:style>
  <w:style w:type="paragraph" w:styleId="Listenabsatz">
    <w:name w:val="List Paragraph"/>
    <w:basedOn w:val="Standard"/>
    <w:uiPriority w:val="34"/>
    <w:qFormat/>
    <w:rsid w:val="0085281A"/>
    <w:pPr>
      <w:ind w:left="720"/>
      <w:contextualSpacing/>
    </w:pPr>
  </w:style>
  <w:style w:type="paragraph" w:styleId="Kopfzeile">
    <w:name w:val="header"/>
    <w:basedOn w:val="Standard"/>
    <w:link w:val="KopfzeileZchn"/>
    <w:uiPriority w:val="99"/>
    <w:unhideWhenUsed/>
    <w:rsid w:val="00A8441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A84410"/>
  </w:style>
  <w:style w:type="paragraph" w:styleId="Fuzeile">
    <w:name w:val="footer"/>
    <w:basedOn w:val="Standard"/>
    <w:link w:val="FuzeileZchn"/>
    <w:uiPriority w:val="99"/>
    <w:unhideWhenUsed/>
    <w:rsid w:val="00A8441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A84410"/>
  </w:style>
  <w:style w:type="paragraph" w:styleId="Endnotentext">
    <w:name w:val="endnote text"/>
    <w:basedOn w:val="Standard"/>
    <w:link w:val="EndnotentextZchn"/>
    <w:uiPriority w:val="99"/>
    <w:semiHidden/>
    <w:unhideWhenUsed/>
    <w:rsid w:val="00A327C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327C3"/>
    <w:rPr>
      <w:sz w:val="20"/>
      <w:szCs w:val="20"/>
    </w:rPr>
  </w:style>
  <w:style w:type="character" w:styleId="Endnotenzeichen">
    <w:name w:val="endnote reference"/>
    <w:basedOn w:val="Absatz-Standardschriftart"/>
    <w:uiPriority w:val="99"/>
    <w:semiHidden/>
    <w:unhideWhenUsed/>
    <w:rsid w:val="00A327C3"/>
    <w:rPr>
      <w:vertAlign w:val="superscript"/>
    </w:rPr>
  </w:style>
  <w:style w:type="paragraph" w:styleId="Textkrper">
    <w:name w:val="Body Text"/>
    <w:basedOn w:val="Standard"/>
    <w:link w:val="TextkrperZchn"/>
    <w:rsid w:val="005C3AFA"/>
    <w:pPr>
      <w:spacing w:after="0" w:line="360" w:lineRule="auto"/>
    </w:pPr>
    <w:rPr>
      <w:rFonts w:ascii="Courier New" w:eastAsia="Times New Roman" w:hAnsi="Courier New" w:cs="Times New Roman"/>
      <w:sz w:val="24"/>
      <w:szCs w:val="20"/>
      <w:lang w:val="de-DE" w:eastAsia="de-DE"/>
    </w:rPr>
  </w:style>
  <w:style w:type="character" w:customStyle="1" w:styleId="TextkrperZchn">
    <w:name w:val="Textkörper Zchn"/>
    <w:basedOn w:val="Absatz-Standardschriftart"/>
    <w:link w:val="Textkrper"/>
    <w:rsid w:val="005C3AFA"/>
    <w:rPr>
      <w:rFonts w:ascii="Courier New" w:eastAsia="Times New Roman" w:hAnsi="Courier New" w:cs="Times New Roman"/>
      <w:sz w:val="24"/>
      <w:szCs w:val="20"/>
      <w:lang w:val="de-DE" w:eastAsia="de-DE"/>
    </w:rPr>
  </w:style>
  <w:style w:type="character" w:styleId="Hyperlink">
    <w:name w:val="Hyperlink"/>
    <w:rsid w:val="005C3AFA"/>
    <w:rPr>
      <w:color w:val="0000FF"/>
      <w:u w:val="single"/>
    </w:rPr>
  </w:style>
  <w:style w:type="character" w:styleId="Kommentarzeichen">
    <w:name w:val="annotation reference"/>
    <w:basedOn w:val="Absatz-Standardschriftart"/>
    <w:uiPriority w:val="99"/>
    <w:semiHidden/>
    <w:unhideWhenUsed/>
    <w:rsid w:val="005C4779"/>
    <w:rPr>
      <w:sz w:val="16"/>
      <w:szCs w:val="16"/>
    </w:rPr>
  </w:style>
  <w:style w:type="paragraph" w:styleId="Kommentartext">
    <w:name w:val="annotation text"/>
    <w:basedOn w:val="Standard"/>
    <w:link w:val="KommentartextZchn"/>
    <w:uiPriority w:val="99"/>
    <w:unhideWhenUsed/>
    <w:rsid w:val="005C4779"/>
    <w:pPr>
      <w:spacing w:line="240" w:lineRule="auto"/>
    </w:pPr>
    <w:rPr>
      <w:sz w:val="20"/>
      <w:szCs w:val="20"/>
    </w:rPr>
  </w:style>
  <w:style w:type="character" w:customStyle="1" w:styleId="KommentartextZchn">
    <w:name w:val="Kommentartext Zchn"/>
    <w:basedOn w:val="Absatz-Standardschriftart"/>
    <w:link w:val="Kommentartext"/>
    <w:uiPriority w:val="99"/>
    <w:rsid w:val="005C4779"/>
    <w:rPr>
      <w:sz w:val="20"/>
      <w:szCs w:val="20"/>
    </w:rPr>
  </w:style>
  <w:style w:type="paragraph" w:styleId="Kommentarthema">
    <w:name w:val="annotation subject"/>
    <w:basedOn w:val="Kommentartext"/>
    <w:next w:val="Kommentartext"/>
    <w:link w:val="KommentarthemaZchn"/>
    <w:uiPriority w:val="99"/>
    <w:semiHidden/>
    <w:unhideWhenUsed/>
    <w:rsid w:val="005C4779"/>
    <w:rPr>
      <w:b/>
      <w:bCs/>
    </w:rPr>
  </w:style>
  <w:style w:type="character" w:customStyle="1" w:styleId="KommentarthemaZchn">
    <w:name w:val="Kommentarthema Zchn"/>
    <w:basedOn w:val="KommentartextZchn"/>
    <w:link w:val="Kommentarthema"/>
    <w:uiPriority w:val="99"/>
    <w:semiHidden/>
    <w:rsid w:val="005C4779"/>
    <w:rPr>
      <w:b/>
      <w:bCs/>
      <w:sz w:val="20"/>
      <w:szCs w:val="20"/>
    </w:rPr>
  </w:style>
  <w:style w:type="paragraph" w:styleId="Funotentext">
    <w:name w:val="footnote text"/>
    <w:basedOn w:val="Standard"/>
    <w:link w:val="FunotentextZchn"/>
    <w:uiPriority w:val="99"/>
    <w:semiHidden/>
    <w:unhideWhenUsed/>
    <w:rsid w:val="009F28C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28C9"/>
    <w:rPr>
      <w:sz w:val="20"/>
      <w:szCs w:val="20"/>
    </w:rPr>
  </w:style>
  <w:style w:type="character" w:styleId="Funotenzeichen">
    <w:name w:val="footnote reference"/>
    <w:basedOn w:val="Absatz-Standardschriftart"/>
    <w:uiPriority w:val="99"/>
    <w:semiHidden/>
    <w:unhideWhenUsed/>
    <w:rsid w:val="009F28C9"/>
    <w:rPr>
      <w:vertAlign w:val="superscript"/>
    </w:rPr>
  </w:style>
  <w:style w:type="paragraph" w:styleId="berarbeitung">
    <w:name w:val="Revision"/>
    <w:hidden/>
    <w:uiPriority w:val="99"/>
    <w:semiHidden/>
    <w:rsid w:val="008C110C"/>
    <w:pPr>
      <w:spacing w:after="0" w:line="240" w:lineRule="auto"/>
    </w:pPr>
  </w:style>
  <w:style w:type="paragraph" w:customStyle="1" w:styleId="paragraph">
    <w:name w:val="paragraph"/>
    <w:basedOn w:val="Standard"/>
    <w:rsid w:val="001E5E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rsid w:val="001E5E10"/>
  </w:style>
  <w:style w:type="character" w:customStyle="1" w:styleId="eop">
    <w:name w:val="eop"/>
    <w:rsid w:val="001E5E10"/>
  </w:style>
  <w:style w:type="character" w:customStyle="1" w:styleId="spellingerror">
    <w:name w:val="spellingerror"/>
    <w:rsid w:val="001E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444">
      <w:bodyDiv w:val="1"/>
      <w:marLeft w:val="0"/>
      <w:marRight w:val="0"/>
      <w:marTop w:val="0"/>
      <w:marBottom w:val="0"/>
      <w:divBdr>
        <w:top w:val="none" w:sz="0" w:space="0" w:color="auto"/>
        <w:left w:val="none" w:sz="0" w:space="0" w:color="auto"/>
        <w:bottom w:val="none" w:sz="0" w:space="0" w:color="auto"/>
        <w:right w:val="none" w:sz="0" w:space="0" w:color="auto"/>
      </w:divBdr>
    </w:div>
    <w:div w:id="433594483">
      <w:bodyDiv w:val="1"/>
      <w:marLeft w:val="0"/>
      <w:marRight w:val="0"/>
      <w:marTop w:val="0"/>
      <w:marBottom w:val="0"/>
      <w:divBdr>
        <w:top w:val="none" w:sz="0" w:space="0" w:color="auto"/>
        <w:left w:val="none" w:sz="0" w:space="0" w:color="auto"/>
        <w:bottom w:val="none" w:sz="0" w:space="0" w:color="auto"/>
        <w:right w:val="none" w:sz="0" w:space="0" w:color="auto"/>
      </w:divBdr>
      <w:divsChild>
        <w:div w:id="256712405">
          <w:marLeft w:val="274"/>
          <w:marRight w:val="0"/>
          <w:marTop w:val="0"/>
          <w:marBottom w:val="0"/>
          <w:divBdr>
            <w:top w:val="none" w:sz="0" w:space="0" w:color="auto"/>
            <w:left w:val="none" w:sz="0" w:space="0" w:color="auto"/>
            <w:bottom w:val="none" w:sz="0" w:space="0" w:color="auto"/>
            <w:right w:val="none" w:sz="0" w:space="0" w:color="auto"/>
          </w:divBdr>
        </w:div>
        <w:div w:id="1410469299">
          <w:marLeft w:val="274"/>
          <w:marRight w:val="0"/>
          <w:marTop w:val="0"/>
          <w:marBottom w:val="0"/>
          <w:divBdr>
            <w:top w:val="none" w:sz="0" w:space="0" w:color="auto"/>
            <w:left w:val="none" w:sz="0" w:space="0" w:color="auto"/>
            <w:bottom w:val="none" w:sz="0" w:space="0" w:color="auto"/>
            <w:right w:val="none" w:sz="0" w:space="0" w:color="auto"/>
          </w:divBdr>
        </w:div>
      </w:divsChild>
    </w:div>
    <w:div w:id="18849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126C-D755-4205-9563-7479EE941FEE}">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792E590-2B5E-44C9-BDE3-465BFCE50FF1}">
  <ds:schemaRefs>
    <ds:schemaRef ds:uri="http://schemas.microsoft.com/sharepoint/v3/contenttype/forms"/>
  </ds:schemaRefs>
</ds:datastoreItem>
</file>

<file path=customXml/itemProps3.xml><?xml version="1.0" encoding="utf-8"?>
<ds:datastoreItem xmlns:ds="http://schemas.openxmlformats.org/officeDocument/2006/customXml" ds:itemID="{D14AECCA-EC8C-4657-8C56-7C6E4796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D3A17F-8049-43F7-9ACF-191C3D1B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Invesco</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Rea</dc:creator>
  <cp:lastModifiedBy>Wimmer, Marie-Theres</cp:lastModifiedBy>
  <cp:revision>3</cp:revision>
  <cp:lastPrinted>2017-08-28T15:15:00Z</cp:lastPrinted>
  <dcterms:created xsi:type="dcterms:W3CDTF">2020-06-16T08:47:00Z</dcterms:created>
  <dcterms:modified xsi:type="dcterms:W3CDTF">2020-06-16T08:49:00Z</dcterms:modified>
</cp:coreProperties>
</file>